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C0C7" w14:textId="77777777" w:rsidR="006E41FA" w:rsidRPr="002E2E4D" w:rsidRDefault="006E41FA" w:rsidP="006E41FA">
      <w:pPr>
        <w:rPr>
          <w:rFonts w:ascii="Arial" w:hAnsi="Arial" w:cs="Arial"/>
          <w:b/>
          <w:bCs/>
        </w:rPr>
      </w:pPr>
      <w:r w:rsidRPr="002E2E4D">
        <w:rPr>
          <w:rFonts w:ascii="Arial" w:hAnsi="Arial" w:cs="Arial"/>
          <w:b/>
          <w:bCs/>
        </w:rPr>
        <w:t>Supplemental Data Table 1</w:t>
      </w:r>
    </w:p>
    <w:p w14:paraId="446C8FDF" w14:textId="77777777" w:rsidR="006E41FA" w:rsidRDefault="006E41FA" w:rsidP="006E41F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DFD58FC" wp14:editId="3B4B8F8B">
            <wp:extent cx="8191586" cy="4646369"/>
            <wp:effectExtent l="0" t="0" r="0" b="1905"/>
            <wp:docPr id="1389497327" name="Picture 1389497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866" cy="46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84857" w14:textId="77777777" w:rsidR="006E41FA" w:rsidRPr="00B9202F" w:rsidRDefault="006E41FA" w:rsidP="006E41FA">
      <w:pPr>
        <w:rPr>
          <w:rFonts w:ascii="Arial" w:hAnsi="Arial" w:cs="Arial"/>
        </w:rPr>
      </w:pPr>
      <w:r w:rsidRPr="00B9202F">
        <w:rPr>
          <w:rFonts w:ascii="Arial" w:hAnsi="Arial" w:cs="Arial"/>
        </w:rPr>
        <w:t>Demographics and baseline characteristics are shown for the amyloid PET substudy population, the tau PET substudy population, the CSF substudy population, and the plasma p-tau</w:t>
      </w:r>
      <w:r w:rsidRPr="00B9202F">
        <w:rPr>
          <w:rFonts w:ascii="Arial" w:hAnsi="Arial" w:cs="Arial"/>
          <w:vertAlign w:val="superscript"/>
        </w:rPr>
        <w:t>181</w:t>
      </w:r>
      <w:r w:rsidRPr="00B9202F">
        <w:rPr>
          <w:rFonts w:ascii="Arial" w:hAnsi="Arial" w:cs="Arial"/>
        </w:rPr>
        <w:t xml:space="preserve"> analysis population.</w:t>
      </w:r>
    </w:p>
    <w:p w14:paraId="6B5BDB6A" w14:textId="77777777" w:rsidR="006E41FA" w:rsidRDefault="006E41FA" w:rsidP="006E41FA">
      <w:pPr>
        <w:rPr>
          <w:rFonts w:ascii="Arial" w:hAnsi="Arial" w:cs="Arial"/>
        </w:rPr>
      </w:pPr>
      <w:r w:rsidRPr="00B9202F">
        <w:rPr>
          <w:rFonts w:ascii="Arial" w:hAnsi="Arial" w:cs="Arial"/>
        </w:rPr>
        <w:lastRenderedPageBreak/>
        <w:t>ADAS-Cog13, Alzheimer’s Disease Assessment Scale–cognitive subscale (13 items); ADCS-ADL-MCI, Alzheimer’s Disease Cooperative Study–Activities of Daily Living Inventory (mild cognitive impairment version); ApoE, apolipoprotein E; CDR-SB, Clinical Dementia Rating–sum of boxes; MCI, mild cognitive impairment; MMSE, Mini-Mental State Examination; PET, positron emission tomography; RBANS, Repeatable Battery for Assessment of Neuropsychological Status; SUVR, standardized uptake value ratio.</w:t>
      </w:r>
    </w:p>
    <w:p w14:paraId="7E5D90A7" w14:textId="77777777" w:rsidR="006E41FA" w:rsidRDefault="006E41FA" w:rsidP="006E41FA">
      <w:pPr>
        <w:rPr>
          <w:rFonts w:ascii="Arial" w:hAnsi="Arial" w:cs="Arial"/>
          <w:b/>
          <w:bCs/>
        </w:rPr>
        <w:sectPr w:rsidR="006E41FA" w:rsidSect="00C60D2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D1BD250" w14:textId="77777777" w:rsidR="006E41FA" w:rsidRPr="002E2E4D" w:rsidRDefault="006E41FA" w:rsidP="006E41FA">
      <w:pPr>
        <w:rPr>
          <w:rFonts w:ascii="Arial" w:hAnsi="Arial" w:cs="Arial"/>
          <w:b/>
          <w:bCs/>
        </w:rPr>
      </w:pPr>
      <w:r w:rsidRPr="002E2E4D">
        <w:rPr>
          <w:rFonts w:ascii="Arial" w:hAnsi="Arial" w:cs="Arial"/>
          <w:b/>
          <w:bCs/>
        </w:rPr>
        <w:lastRenderedPageBreak/>
        <w:t>Supplemental Data Fig. 4</w:t>
      </w:r>
    </w:p>
    <w:p w14:paraId="3F60179C" w14:textId="77777777" w:rsidR="006E41FA" w:rsidRDefault="006E41FA" w:rsidP="006E41F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FDA677" wp14:editId="04E7DBA8">
            <wp:extent cx="4500696" cy="7927450"/>
            <wp:effectExtent l="0" t="0" r="0" b="0"/>
            <wp:docPr id="426300924" name="Picture 426300924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300924" name="Picture 426300924" descr="A screenshot of a video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221" cy="7961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769FA0" w14:textId="1B7D00D5" w:rsidR="006E41FA" w:rsidRPr="00DF3CA7" w:rsidRDefault="006E41FA" w:rsidP="006E41FA">
      <w:pPr>
        <w:pStyle w:val="Bulletlevel4"/>
        <w:numPr>
          <w:ilvl w:val="0"/>
          <w:numId w:val="0"/>
        </w:numPr>
        <w:spacing w:line="480" w:lineRule="auto"/>
        <w:rPr>
          <w:rFonts w:cs="Arial"/>
          <w:szCs w:val="22"/>
          <w:lang w:eastAsia="en-GB"/>
        </w:rPr>
      </w:pPr>
      <w:r w:rsidRPr="00DF3CA7">
        <w:rPr>
          <w:rFonts w:cs="Arial"/>
          <w:b/>
          <w:bCs/>
          <w:szCs w:val="22"/>
          <w:lang w:eastAsia="en-GB"/>
        </w:rPr>
        <w:t>Panel a</w:t>
      </w:r>
      <w:r w:rsidRPr="00DF3CA7">
        <w:rPr>
          <w:rFonts w:cs="Arial"/>
          <w:szCs w:val="22"/>
          <w:lang w:eastAsia="en-GB"/>
        </w:rPr>
        <w:t xml:space="preserve"> </w:t>
      </w:r>
      <w:proofErr w:type="gramStart"/>
      <w:r w:rsidRPr="00DF3CA7">
        <w:rPr>
          <w:rFonts w:cs="Arial"/>
          <w:szCs w:val="22"/>
          <w:lang w:eastAsia="en-GB"/>
        </w:rPr>
        <w:t>shows</w:t>
      </w:r>
      <w:proofErr w:type="gramEnd"/>
      <w:r w:rsidRPr="00DF3CA7">
        <w:rPr>
          <w:rFonts w:cs="Arial"/>
          <w:szCs w:val="22"/>
          <w:lang w:eastAsia="en-GB"/>
        </w:rPr>
        <w:t xml:space="preserve"> </w:t>
      </w:r>
      <w:r w:rsidR="00BB633B">
        <w:rPr>
          <w:rFonts w:cs="Arial"/>
          <w:szCs w:val="22"/>
          <w:lang w:eastAsia="en-GB"/>
        </w:rPr>
        <w:t xml:space="preserve">a </w:t>
      </w:r>
      <w:r w:rsidRPr="00DF3CA7">
        <w:rPr>
          <w:rFonts w:cs="Arial"/>
          <w:szCs w:val="22"/>
          <w:lang w:eastAsia="en-GB"/>
        </w:rPr>
        <w:t>scatterplot of change from baseline in plasma p-tau</w:t>
      </w:r>
      <w:r w:rsidRPr="00DF3CA7">
        <w:rPr>
          <w:rFonts w:cs="Arial"/>
          <w:szCs w:val="22"/>
          <w:vertAlign w:val="superscript"/>
          <w:lang w:eastAsia="en-GB"/>
        </w:rPr>
        <w:t>181</w:t>
      </w:r>
      <w:r w:rsidRPr="00DF3CA7">
        <w:rPr>
          <w:rFonts w:cs="Arial"/>
          <w:szCs w:val="22"/>
          <w:lang w:eastAsia="en-GB"/>
        </w:rPr>
        <w:t xml:space="preserve"> levels vs. change from baseline in amyloid PET composite SUVR at Week 78 in EMERGE (left) and ENGAGE </w:t>
      </w:r>
      <w:r w:rsidRPr="00DF3CA7">
        <w:rPr>
          <w:rFonts w:cs="Arial"/>
          <w:szCs w:val="22"/>
          <w:lang w:eastAsia="en-GB"/>
        </w:rPr>
        <w:lastRenderedPageBreak/>
        <w:t>(right).</w:t>
      </w:r>
      <w:r w:rsidRPr="00DF3CA7">
        <w:rPr>
          <w:rFonts w:cs="Arial"/>
          <w:szCs w:val="22"/>
        </w:rPr>
        <w:t xml:space="preserve"> </w:t>
      </w:r>
      <w:r w:rsidRPr="00DF3CA7">
        <w:rPr>
          <w:rFonts w:cs="Arial"/>
          <w:szCs w:val="22"/>
          <w:lang w:eastAsia="en-GB"/>
        </w:rPr>
        <w:t xml:space="preserve">R: Partial spearman correlation adjusted for baseline p-tau, baseline amyloid PET, and age. Correlations calculated based on all arms. </w:t>
      </w:r>
    </w:p>
    <w:p w14:paraId="35D6A2CE" w14:textId="77777777" w:rsidR="006E41FA" w:rsidRPr="00DF3CA7" w:rsidRDefault="006E41FA" w:rsidP="006E41FA">
      <w:pPr>
        <w:pStyle w:val="Bulletlevel4"/>
        <w:numPr>
          <w:ilvl w:val="0"/>
          <w:numId w:val="0"/>
        </w:numPr>
        <w:spacing w:line="480" w:lineRule="auto"/>
        <w:rPr>
          <w:rFonts w:cs="Arial"/>
          <w:bCs/>
          <w:szCs w:val="22"/>
        </w:rPr>
      </w:pPr>
      <w:r w:rsidRPr="00DF3CA7">
        <w:rPr>
          <w:rFonts w:cs="Arial"/>
          <w:b/>
          <w:szCs w:val="22"/>
        </w:rPr>
        <w:t>Panel b</w:t>
      </w:r>
      <w:r w:rsidRPr="00DF3CA7">
        <w:rPr>
          <w:rFonts w:cs="Arial"/>
          <w:bCs/>
          <w:szCs w:val="22"/>
        </w:rPr>
        <w:t xml:space="preserve"> shows association between treatment effect on brain Aβ plaque levels and CDR-SB across aducanumab studies (group-level analysis). The analysis was </w:t>
      </w:r>
      <w:r w:rsidRPr="00DF3CA7">
        <w:rPr>
          <w:rFonts w:cs="Arial"/>
          <w:bCs/>
          <w:szCs w:val="22"/>
          <w:lang w:val="en-US"/>
        </w:rPr>
        <w:t>conducted in active treatment groups,</w:t>
      </w:r>
      <w:r w:rsidRPr="00DF3CA7">
        <w:rPr>
          <w:rFonts w:cs="Arial"/>
          <w:bCs/>
          <w:szCs w:val="22"/>
        </w:rPr>
        <w:t xml:space="preserve"> </w:t>
      </w:r>
      <w:r w:rsidRPr="00DF3CA7">
        <w:rPr>
          <w:rFonts w:cs="Arial"/>
          <w:bCs/>
          <w:szCs w:val="22"/>
          <w:lang w:val="en-US"/>
        </w:rPr>
        <w:t xml:space="preserve">as pre-specified. </w:t>
      </w:r>
      <w:r w:rsidRPr="00DF3CA7">
        <w:rPr>
          <w:rFonts w:cs="Arial"/>
          <w:bCs/>
          <w:szCs w:val="22"/>
        </w:rPr>
        <w:t xml:space="preserve">CDR-SB results for EMERGE and ENGAGE were from the PET substudies using the same </w:t>
      </w:r>
      <w:r w:rsidRPr="00DF3CA7">
        <w:rPr>
          <w:rFonts w:cs="Arial"/>
          <w:bCs/>
          <w:szCs w:val="22"/>
          <w:lang w:val="en-US"/>
        </w:rPr>
        <w:t>mixed model for repeated measures</w:t>
      </w:r>
      <w:r w:rsidRPr="00DF3CA7">
        <w:rPr>
          <w:rFonts w:cs="Arial"/>
          <w:bCs/>
          <w:szCs w:val="22"/>
        </w:rPr>
        <w:t xml:space="preserve"> as the primary analysis for CDR-SB</w:t>
      </w:r>
      <w:r w:rsidRPr="00DF3CA7">
        <w:rPr>
          <w:rFonts w:cs="Arial"/>
          <w:bCs/>
          <w:szCs w:val="22"/>
          <w:lang w:val="en-US"/>
        </w:rPr>
        <w:t xml:space="preserve">. The regression line was derived based on the data points from all three studies except the ENGAGE high-dose group. Sample sizes for each study are as follows: EMERGE (n=159 for low dose; n= 170 for high dose); ENGAGE (n=198 for low dose; n=183 for high dose); PRIME (n=29 for 1 mg/kg; n=32 for 3 mg/kg; n=30 for 6 mg/kg; n=31 for 10 mg/kg; n=19 for titration). </w:t>
      </w:r>
    </w:p>
    <w:p w14:paraId="06307EF9" w14:textId="77777777" w:rsidR="006E41FA" w:rsidRPr="00DF3CA7" w:rsidRDefault="006E41FA" w:rsidP="006E41FA">
      <w:pPr>
        <w:spacing w:line="480" w:lineRule="auto"/>
        <w:rPr>
          <w:rFonts w:ascii="Arial" w:hAnsi="Arial" w:cs="Arial"/>
          <w:bCs/>
        </w:rPr>
      </w:pPr>
      <w:r w:rsidRPr="00DF3CA7">
        <w:rPr>
          <w:rFonts w:ascii="Arial" w:hAnsi="Arial" w:cs="Arial"/>
          <w:b/>
        </w:rPr>
        <w:t>Panel c</w:t>
      </w:r>
      <w:r w:rsidRPr="00DF3CA7">
        <w:rPr>
          <w:rFonts w:ascii="Arial" w:hAnsi="Arial" w:cs="Arial"/>
          <w:bCs/>
        </w:rPr>
        <w:t xml:space="preserve"> shows </w:t>
      </w:r>
      <w:r w:rsidRPr="00DF3CA7">
        <w:rPr>
          <w:rFonts w:ascii="Arial" w:hAnsi="Arial" w:cs="Arial"/>
        </w:rPr>
        <w:t>c</w:t>
      </w:r>
      <w:r w:rsidRPr="00DF3CA7">
        <w:rPr>
          <w:rFonts w:ascii="Arial" w:hAnsi="Arial" w:cs="Arial"/>
          <w:bCs/>
        </w:rPr>
        <w:t>orrelations between amyloid reduction or reduction in levels of plasma p-tau</w:t>
      </w:r>
      <w:r w:rsidRPr="00DF3CA7">
        <w:rPr>
          <w:rFonts w:ascii="Arial" w:hAnsi="Arial" w:cs="Arial"/>
          <w:bCs/>
          <w:vertAlign w:val="superscript"/>
        </w:rPr>
        <w:t xml:space="preserve">181 </w:t>
      </w:r>
      <w:r w:rsidRPr="00DF3CA7">
        <w:rPr>
          <w:rFonts w:ascii="Arial" w:hAnsi="Arial" w:cs="Arial"/>
          <w:bCs/>
        </w:rPr>
        <w:t>and efficacy endpoints change from baseline at week 78 (participant-level analysis).</w:t>
      </w:r>
      <w:r w:rsidRPr="00DF3CA7">
        <w:rPr>
          <w:rFonts w:ascii="Arial" w:hAnsi="Arial" w:cs="Arial"/>
        </w:rPr>
        <w:t xml:space="preserve"> The p</w:t>
      </w:r>
      <w:r w:rsidRPr="00DF3CA7">
        <w:rPr>
          <w:rFonts w:ascii="Arial" w:hAnsi="Arial" w:cs="Arial"/>
          <w:bCs/>
        </w:rPr>
        <w:t>opulation is limited to those participants in the amyloid PET or plasma p-tau</w:t>
      </w:r>
      <w:r w:rsidRPr="00DF3CA7">
        <w:rPr>
          <w:rFonts w:ascii="Arial" w:hAnsi="Arial" w:cs="Arial"/>
          <w:bCs/>
          <w:vertAlign w:val="superscript"/>
        </w:rPr>
        <w:t>181</w:t>
      </w:r>
      <w:r w:rsidRPr="00DF3CA7">
        <w:rPr>
          <w:rFonts w:ascii="Arial" w:hAnsi="Arial" w:cs="Arial"/>
          <w:bCs/>
        </w:rPr>
        <w:t xml:space="preserve"> subgroup who completed amyloid PET assessment or collection of plasma p-tau</w:t>
      </w:r>
      <w:r w:rsidRPr="00DF3CA7">
        <w:rPr>
          <w:rFonts w:ascii="Arial" w:hAnsi="Arial" w:cs="Arial"/>
          <w:bCs/>
          <w:vertAlign w:val="superscript"/>
        </w:rPr>
        <w:t>181</w:t>
      </w:r>
      <w:r w:rsidRPr="00DF3CA7">
        <w:rPr>
          <w:rFonts w:ascii="Arial" w:hAnsi="Arial" w:cs="Arial"/>
          <w:bCs/>
        </w:rPr>
        <w:t xml:space="preserve"> and efficacy assessments at week 78. P values (nominal): *</w:t>
      </w:r>
      <w:r w:rsidRPr="00DF3CA7">
        <w:rPr>
          <w:rFonts w:ascii="Arial" w:hAnsi="Arial" w:cs="Arial"/>
          <w:bCs/>
          <w:i/>
          <w:iCs/>
        </w:rPr>
        <w:t>P</w:t>
      </w:r>
      <w:r w:rsidRPr="00DF3CA7">
        <w:rPr>
          <w:rFonts w:ascii="Arial" w:hAnsi="Arial" w:cs="Arial"/>
          <w:bCs/>
        </w:rPr>
        <w:t xml:space="preserve">&lt;.05 ** </w:t>
      </w:r>
      <w:r w:rsidRPr="00DF3CA7">
        <w:rPr>
          <w:rFonts w:ascii="Arial" w:hAnsi="Arial" w:cs="Arial"/>
          <w:bCs/>
          <w:i/>
          <w:iCs/>
        </w:rPr>
        <w:t>P</w:t>
      </w:r>
      <w:r w:rsidRPr="00DF3CA7">
        <w:rPr>
          <w:rFonts w:ascii="Arial" w:hAnsi="Arial" w:cs="Arial"/>
          <w:bCs/>
        </w:rPr>
        <w:t xml:space="preserve">&lt;.01, *** </w:t>
      </w:r>
      <w:r w:rsidRPr="00DF3CA7">
        <w:rPr>
          <w:rFonts w:ascii="Arial" w:hAnsi="Arial" w:cs="Arial"/>
          <w:bCs/>
          <w:i/>
          <w:iCs/>
        </w:rPr>
        <w:t>P</w:t>
      </w:r>
      <w:r w:rsidRPr="00DF3CA7">
        <w:rPr>
          <w:rFonts w:ascii="Arial" w:hAnsi="Arial" w:cs="Arial"/>
          <w:bCs/>
        </w:rPr>
        <w:t xml:space="preserve">&lt;.001. Correlations are partial Spearman correlations assessed in pooled low- and high-dose groups after adjustment for baseline biomarker and efficacy values </w:t>
      </w:r>
      <w:r w:rsidRPr="00DF3CA7">
        <w:rPr>
          <w:rFonts w:ascii="Arial" w:hAnsi="Arial" w:cs="Arial"/>
        </w:rPr>
        <w:t>(and age for correlation between plasma p-tau</w:t>
      </w:r>
      <w:r w:rsidRPr="00DF3CA7">
        <w:rPr>
          <w:rFonts w:ascii="Arial" w:hAnsi="Arial" w:cs="Arial"/>
          <w:vertAlign w:val="superscript"/>
        </w:rPr>
        <w:t>181</w:t>
      </w:r>
      <w:r w:rsidRPr="00DF3CA7">
        <w:rPr>
          <w:rFonts w:ascii="Arial" w:hAnsi="Arial" w:cs="Arial"/>
        </w:rPr>
        <w:t xml:space="preserve"> and efficacy correlation)</w:t>
      </w:r>
      <w:r w:rsidRPr="00DF3CA7">
        <w:rPr>
          <w:rFonts w:ascii="Arial" w:hAnsi="Arial" w:cs="Arial"/>
          <w:bCs/>
        </w:rPr>
        <w:t xml:space="preserve">. </w:t>
      </w:r>
    </w:p>
    <w:p w14:paraId="0D83CA89" w14:textId="77777777" w:rsidR="006E41FA" w:rsidRPr="002E2E4D" w:rsidRDefault="006E41FA" w:rsidP="006E41FA">
      <w:pPr>
        <w:spacing w:line="480" w:lineRule="auto"/>
        <w:rPr>
          <w:rFonts w:ascii="Arial" w:hAnsi="Arial" w:cs="Arial"/>
        </w:rPr>
      </w:pPr>
      <w:r w:rsidRPr="00DF3CA7">
        <w:rPr>
          <w:rFonts w:ascii="Arial" w:hAnsi="Arial" w:cs="Arial"/>
          <w:bCs/>
        </w:rPr>
        <w:t xml:space="preserve">Aβ, amyloid β; ADAS-Cog13, Alzheimer’s Disease Assessment Scale–cognitive subscale (13 items); ADCS-ADL-MCI, Alzheimer’s Disease Cooperative Study–Activities of Daily Living Inventory, avg, average; mild cognitive impairment version; CDR-SB, Clinical Dementia Rating Scale–sum of boxes; MMSE, Mini Mental State Examination; PET, positron emission tomography; </w:t>
      </w:r>
      <w:r w:rsidRPr="00DF3CA7">
        <w:rPr>
          <w:rFonts w:ascii="Arial" w:hAnsi="Arial" w:cs="Arial"/>
        </w:rPr>
        <w:t>p-tau, phosphorylated tau</w:t>
      </w:r>
      <w:r w:rsidRPr="00DF3CA7">
        <w:rPr>
          <w:rFonts w:ascii="Arial" w:hAnsi="Arial" w:cs="Arial"/>
          <w:bCs/>
        </w:rPr>
        <w:t>; SUVR, standardized uptake value ratio.</w:t>
      </w:r>
    </w:p>
    <w:p w14:paraId="62B822CC" w14:textId="77777777" w:rsidR="006E41FA" w:rsidRPr="002E2E4D" w:rsidRDefault="006E41FA" w:rsidP="006E41FA">
      <w:pPr>
        <w:rPr>
          <w:rFonts w:ascii="Arial" w:hAnsi="Arial" w:cs="Arial"/>
          <w:b/>
          <w:bCs/>
        </w:rPr>
      </w:pPr>
    </w:p>
    <w:p w14:paraId="3B445876" w14:textId="77777777" w:rsidR="001F1CDE" w:rsidRDefault="001F1CDE"/>
    <w:sectPr w:rsidR="001F1CDE" w:rsidSect="00C60D2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6673"/>
    <w:multiLevelType w:val="multilevel"/>
    <w:tmpl w:val="143A40E2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sz w:val="22"/>
        <w:szCs w:val="22"/>
      </w:rPr>
    </w:lvl>
    <w:lvl w:ilvl="1">
      <w:start w:val="1"/>
      <w:numFmt w:val="bullet"/>
      <w:lvlRestart w:val="0"/>
      <w:pStyle w:val="Bulletlevel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Restart w:val="0"/>
      <w:pStyle w:val="Bulletlevel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Bulletlevel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auto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auto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abstractNum w:abstractNumId="1" w15:restartNumberingAfterBreak="0">
    <w:nsid w:val="65025C4A"/>
    <w:multiLevelType w:val="multilevel"/>
    <w:tmpl w:val="143A40E2"/>
    <w:numStyleLink w:val="Bulletlist"/>
  </w:abstractNum>
  <w:num w:numId="1" w16cid:durableId="584607054">
    <w:abstractNumId w:val="0"/>
  </w:num>
  <w:num w:numId="2" w16cid:durableId="180488480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Restart w:val="0"/>
        <w:pStyle w:val="Bulletlevel2"/>
        <w:lvlText w:val="–"/>
        <w:lvlJc w:val="left"/>
        <w:pPr>
          <w:tabs>
            <w:tab w:val="num" w:pos="567"/>
          </w:tabs>
          <w:ind w:left="567" w:hanging="283"/>
        </w:pPr>
        <w:rPr>
          <w:rFonts w:ascii="Arial" w:hAnsi="Arial" w:hint="default"/>
          <w:color w:val="auto"/>
          <w:sz w:val="22"/>
        </w:rPr>
      </w:lvl>
    </w:lvlOverride>
    <w:lvlOverride w:ilvl="2">
      <w:lvl w:ilvl="2">
        <w:start w:val="1"/>
        <w:numFmt w:val="bullet"/>
        <w:lvlRestart w:val="0"/>
        <w:pStyle w:val="Bulletlevel3"/>
        <w:lvlText w:val="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FA"/>
    <w:rsid w:val="001F1CDE"/>
    <w:rsid w:val="002616EF"/>
    <w:rsid w:val="006E41FA"/>
    <w:rsid w:val="00733280"/>
    <w:rsid w:val="00795472"/>
    <w:rsid w:val="00A175D8"/>
    <w:rsid w:val="00BB5EDE"/>
    <w:rsid w:val="00BB633B"/>
    <w:rsid w:val="00C27ED3"/>
    <w:rsid w:val="00C40584"/>
    <w:rsid w:val="00C60D2A"/>
    <w:rsid w:val="00C72FCA"/>
    <w:rsid w:val="00EB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73CF"/>
  <w15:chartTrackingRefBased/>
  <w15:docId w15:val="{8EC21062-66BC-4A1F-BC17-BC2FD67D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1FA"/>
    <w:rPr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Bulletlist">
    <w:name w:val="Bullet list"/>
    <w:basedOn w:val="Aucuneliste"/>
    <w:rsid w:val="006E41FA"/>
    <w:pPr>
      <w:numPr>
        <w:numId w:val="1"/>
      </w:numPr>
    </w:pPr>
  </w:style>
  <w:style w:type="paragraph" w:customStyle="1" w:styleId="Bulletlevel2">
    <w:name w:val="Bullet level 2"/>
    <w:basedOn w:val="Normal"/>
    <w:semiHidden/>
    <w:rsid w:val="006E41FA"/>
    <w:pPr>
      <w:numPr>
        <w:ilvl w:val="1"/>
        <w:numId w:val="2"/>
      </w:numPr>
      <w:tabs>
        <w:tab w:val="clear" w:pos="567"/>
        <w:tab w:val="num" w:pos="360"/>
      </w:tabs>
      <w:spacing w:after="0" w:line="360" w:lineRule="auto"/>
      <w:ind w:left="0" w:firstLine="0"/>
    </w:pPr>
    <w:rPr>
      <w:rFonts w:ascii="Arial" w:eastAsia="Times New Roman" w:hAnsi="Arial" w:cs="Times New Roman"/>
      <w:kern w:val="0"/>
      <w:szCs w:val="20"/>
      <w:lang w:val="en-GB" w:eastAsia="en-GB"/>
      <w14:ligatures w14:val="none"/>
    </w:rPr>
  </w:style>
  <w:style w:type="paragraph" w:customStyle="1" w:styleId="Bulletlevel3">
    <w:name w:val="Bullet level 3"/>
    <w:basedOn w:val="Normal"/>
    <w:semiHidden/>
    <w:rsid w:val="006E41FA"/>
    <w:pPr>
      <w:numPr>
        <w:ilvl w:val="2"/>
        <w:numId w:val="2"/>
      </w:numPr>
      <w:tabs>
        <w:tab w:val="clear" w:pos="851"/>
        <w:tab w:val="num" w:pos="360"/>
      </w:tabs>
      <w:spacing w:after="0" w:line="360" w:lineRule="auto"/>
      <w:ind w:left="0" w:firstLine="0"/>
    </w:pPr>
    <w:rPr>
      <w:rFonts w:ascii="Arial" w:eastAsia="Times New Roman" w:hAnsi="Arial" w:cs="Times New Roman"/>
      <w:kern w:val="0"/>
      <w:szCs w:val="20"/>
      <w:lang w:val="en-GB" w:eastAsia="en-US"/>
      <w14:ligatures w14:val="none"/>
    </w:rPr>
  </w:style>
  <w:style w:type="paragraph" w:customStyle="1" w:styleId="Bulletlevel4">
    <w:name w:val="Bullet level 4"/>
    <w:basedOn w:val="Normal"/>
    <w:semiHidden/>
    <w:rsid w:val="006E41FA"/>
    <w:pPr>
      <w:numPr>
        <w:ilvl w:val="3"/>
        <w:numId w:val="2"/>
      </w:numPr>
      <w:spacing w:after="0" w:line="360" w:lineRule="auto"/>
    </w:pPr>
    <w:rPr>
      <w:rFonts w:ascii="Arial" w:eastAsia="Times New Roman" w:hAnsi="Arial" w:cs="Times New Roman"/>
      <w:kern w:val="0"/>
      <w:szCs w:val="20"/>
      <w:lang w:val="en-GB" w:eastAsia="en-US"/>
      <w14:ligatures w14:val="none"/>
    </w:rPr>
  </w:style>
  <w:style w:type="paragraph" w:styleId="Rvision">
    <w:name w:val="Revision"/>
    <w:hidden/>
    <w:uiPriority w:val="99"/>
    <w:semiHidden/>
    <w:rsid w:val="00BB633B"/>
    <w:pPr>
      <w:spacing w:after="0" w:line="240" w:lineRule="auto"/>
    </w:pPr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168DA73E7D149A5C895091B8140E5" ma:contentTypeVersion="22" ma:contentTypeDescription="Create a new document." ma:contentTypeScope="" ma:versionID="abc79b1a416db3bc1097d62c40b01b66">
  <xsd:schema xmlns:xsd="http://www.w3.org/2001/XMLSchema" xmlns:xs="http://www.w3.org/2001/XMLSchema" xmlns:p="http://schemas.microsoft.com/office/2006/metadata/properties" xmlns:ns2="0f3bfc5b-1213-47aa-8ff1-d9c769ffcf68" xmlns:ns3="86056aa0-08ce-4241-8acb-e70cdce73fab" targetNamespace="http://schemas.microsoft.com/office/2006/metadata/properties" ma:root="true" ma:fieldsID="1d2075f52d2ec0e7557eee4de38a0115" ns2:_="" ns3:_="">
    <xsd:import namespace="0f3bfc5b-1213-47aa-8ff1-d9c769ffcf68"/>
    <xsd:import namespace="86056aa0-08ce-4241-8acb-e70cdce73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eamMembe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Product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bfc5b-1213-47aa-8ff1-d9c769ffc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Member" ma:index="12" nillable="true" ma:displayName="Team Member" ma:format="Dropdown" ma:list="UserInfo" ma:SharePointGroup="0" ma:internalName="TeamMemb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e86700-8264-4de9-99c9-62dd4952ae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oduct" ma:index="22" nillable="true" ma:displayName="Product" ma:format="Dropdown" ma:internalName="Product">
      <xsd:simpleType>
        <xsd:restriction base="dms:Choice">
          <xsd:enumeration value="A"/>
          <xsd:enumeration value="B"/>
          <xsd:enumeration value="C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56aa0-08ce-4241-8acb-e70cdce73fa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57bf99f-d442-4d1b-a0ba-f0b3ec0b1787}" ma:internalName="TaxCatchAll" ma:showField="CatchAllData" ma:web="86056aa0-08ce-4241-8acb-e70cdce73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 xmlns="0f3bfc5b-1213-47aa-8ff1-d9c769ffcf68" xsi:nil="true"/>
    <lcf76f155ced4ddcb4097134ff3c332f xmlns="0f3bfc5b-1213-47aa-8ff1-d9c769ffcf68">
      <Terms xmlns="http://schemas.microsoft.com/office/infopath/2007/PartnerControls"/>
    </lcf76f155ced4ddcb4097134ff3c332f>
    <TeamMember xmlns="0f3bfc5b-1213-47aa-8ff1-d9c769ffcf68">
      <UserInfo>
        <DisplayName/>
        <AccountId xsi:nil="true"/>
        <AccountType/>
      </UserInfo>
    </TeamMember>
    <TaxCatchAll xmlns="86056aa0-08ce-4241-8acb-e70cdce73f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8379C-6A5C-4490-8734-DE332C868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bfc5b-1213-47aa-8ff1-d9c769ffcf68"/>
    <ds:schemaRef ds:uri="86056aa0-08ce-4241-8acb-e70cdce73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C9A8F-CA77-4EEA-B1A8-5A5C4B1E1D0D}">
  <ds:schemaRefs>
    <ds:schemaRef ds:uri="http://schemas.microsoft.com/office/2006/metadata/properties"/>
    <ds:schemaRef ds:uri="http://schemas.microsoft.com/office/infopath/2007/PartnerControls"/>
    <ds:schemaRef ds:uri="0f3bfc5b-1213-47aa-8ff1-d9c769ffcf68"/>
    <ds:schemaRef ds:uri="86056aa0-08ce-4241-8acb-e70cdce73fab"/>
  </ds:schemaRefs>
</ds:datastoreItem>
</file>

<file path=customXml/itemProps3.xml><?xml version="1.0" encoding="utf-8"?>
<ds:datastoreItem xmlns:ds="http://schemas.openxmlformats.org/officeDocument/2006/customXml" ds:itemID="{EA0A14E4-EECB-4F05-9411-EAAB6D657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Liting Hang</dc:creator>
  <cp:keywords/>
  <dc:description/>
  <cp:lastModifiedBy>Virginie Cassigneul</cp:lastModifiedBy>
  <cp:revision>2</cp:revision>
  <dcterms:created xsi:type="dcterms:W3CDTF">2024-04-10T08:26:00Z</dcterms:created>
  <dcterms:modified xsi:type="dcterms:W3CDTF">2024-04-10T08:26:00Z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0x010100BE7168DA73E7D149A5C895091B8140E5</vt:lpwstr>
  </property>
  <property fmtid="{D5CDD505-2E9C-101B-9397-08002B2CF9AE}" pid="3" name="MediaServiceImageTags">
    <vt:lpwstr/>
  </property>
</Properties>
</file>