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414" w:rsidRPr="002D7076" w:rsidRDefault="00FD3414" w:rsidP="00FD3414">
      <w:pPr>
        <w:jc w:val="both"/>
        <w:rPr>
          <w:rFonts w:ascii="Times New Roman" w:hAnsi="Times New Roman"/>
          <w:b/>
          <w:bCs/>
          <w:lang w:val="en-GB"/>
        </w:rPr>
      </w:pPr>
      <w:r w:rsidRPr="002D7076">
        <w:rPr>
          <w:rFonts w:ascii="Times New Roman" w:hAnsi="Times New Roman"/>
          <w:b/>
          <w:bCs/>
          <w:lang w:val="en-GB"/>
        </w:rPr>
        <w:t xml:space="preserve">Supplementary material </w:t>
      </w:r>
    </w:p>
    <w:p w:rsidR="00FD3414" w:rsidRPr="002D7076" w:rsidRDefault="00FD3414" w:rsidP="00FD3414">
      <w:pPr>
        <w:jc w:val="both"/>
        <w:rPr>
          <w:rFonts w:ascii="Times New Roman" w:hAnsi="Times New Roman"/>
          <w:b/>
          <w:bCs/>
          <w:lang w:val="en-GB"/>
        </w:rPr>
      </w:pPr>
    </w:p>
    <w:p w:rsidR="00FD3414" w:rsidRPr="002D7076" w:rsidRDefault="00FD3414" w:rsidP="00FD3414">
      <w:pPr>
        <w:jc w:val="both"/>
        <w:rPr>
          <w:rFonts w:ascii="Times New Roman" w:hAnsi="Times New Roman"/>
          <w:b/>
          <w:bCs/>
          <w:lang w:val="en-GB"/>
        </w:rPr>
      </w:pPr>
      <w:r w:rsidRPr="002D7076">
        <w:rPr>
          <w:rFonts w:ascii="Times New Roman" w:hAnsi="Times New Roman"/>
          <w:b/>
          <w:bCs/>
          <w:lang w:val="en-GB"/>
        </w:rPr>
        <w:t xml:space="preserve">Supplementary table 1. </w:t>
      </w:r>
      <w:r w:rsidRPr="002D7076">
        <w:rPr>
          <w:rFonts w:ascii="Times New Roman" w:hAnsi="Times New Roman"/>
          <w:lang w:val="en-GB"/>
        </w:rPr>
        <w:t>Quantification of project impact, including individual and aggregated cost estimates.</w:t>
      </w:r>
    </w:p>
    <w:p w:rsidR="00FD3414" w:rsidRPr="002D7076" w:rsidRDefault="00FD3414" w:rsidP="00FD3414">
      <w:pPr>
        <w:rPr>
          <w:rFonts w:ascii="Times New Roman" w:hAnsi="Times New Roman"/>
          <w:lang w:val="en-GB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374"/>
        <w:gridCol w:w="2126"/>
      </w:tblGrid>
      <w:tr w:rsidR="00FD3414" w:rsidRPr="002D7076" w:rsidTr="003F1812">
        <w:trPr>
          <w:jc w:val="center"/>
        </w:trPr>
        <w:tc>
          <w:tcPr>
            <w:tcW w:w="6374" w:type="dxa"/>
          </w:tcPr>
          <w:p w:rsidR="00FD3414" w:rsidRPr="002D7076" w:rsidRDefault="00FD3414" w:rsidP="003F1812">
            <w:pPr>
              <w:rPr>
                <w:rFonts w:ascii="Times New Roman" w:hAnsi="Times New Roman"/>
                <w:b/>
                <w:bCs/>
                <w:lang w:val="en-GB"/>
              </w:rPr>
            </w:pPr>
            <w:r w:rsidRPr="002D7076">
              <w:rPr>
                <w:rFonts w:ascii="Times New Roman" w:hAnsi="Times New Roman"/>
                <w:b/>
                <w:bCs/>
                <w:lang w:val="en-GB"/>
              </w:rPr>
              <w:t>Impact measure in AD-RIDDLE</w:t>
            </w:r>
          </w:p>
        </w:tc>
        <w:tc>
          <w:tcPr>
            <w:tcW w:w="2126" w:type="dxa"/>
          </w:tcPr>
          <w:p w:rsidR="00FD3414" w:rsidRPr="002D7076" w:rsidRDefault="00FD3414" w:rsidP="003F1812">
            <w:pPr>
              <w:rPr>
                <w:rFonts w:ascii="Times New Roman" w:hAnsi="Times New Roman"/>
                <w:b/>
                <w:bCs/>
                <w:lang w:val="en-GB"/>
              </w:rPr>
            </w:pPr>
            <w:r w:rsidRPr="002D7076">
              <w:rPr>
                <w:rFonts w:ascii="Times New Roman" w:hAnsi="Times New Roman"/>
                <w:b/>
                <w:bCs/>
                <w:lang w:val="en-GB"/>
              </w:rPr>
              <w:t>Value</w:t>
            </w:r>
          </w:p>
        </w:tc>
      </w:tr>
      <w:tr w:rsidR="00FD3414" w:rsidRPr="002D7076" w:rsidTr="003F1812">
        <w:trPr>
          <w:jc w:val="center"/>
        </w:trPr>
        <w:tc>
          <w:tcPr>
            <w:tcW w:w="8500" w:type="dxa"/>
            <w:gridSpan w:val="2"/>
            <w:shd w:val="clear" w:color="auto" w:fill="C5E0B3"/>
          </w:tcPr>
          <w:p w:rsidR="00FD3414" w:rsidRPr="002D7076" w:rsidRDefault="00FD3414" w:rsidP="003F1812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D7076">
              <w:rPr>
                <w:rFonts w:ascii="Times New Roman" w:hAnsi="Times New Roman"/>
                <w:i/>
                <w:iCs/>
                <w:lang w:val="en-GB"/>
              </w:rPr>
              <w:t xml:space="preserve">Reduction of specialized costly testing in early AD diagnosis 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Estimated number of people with AD (prodromal AD and dementia) seeking care / year in Europe</w:t>
            </w:r>
          </w:p>
        </w:tc>
        <w:tc>
          <w:tcPr>
            <w:tcW w:w="2126" w:type="dxa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 xml:space="preserve">4 000 000 </w:t>
            </w:r>
            <w:r w:rsidRPr="002D7076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(1, 2)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% Diagnosed in specialised care</w:t>
            </w:r>
          </w:p>
        </w:tc>
        <w:tc>
          <w:tcPr>
            <w:tcW w:w="2126" w:type="dxa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 xml:space="preserve">83% </w:t>
            </w:r>
            <w:r w:rsidRPr="002D7076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(3)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  <w:shd w:val="clear" w:color="auto" w:fill="D9E2F3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% increase in toolbox platform use over 10 years*</w:t>
            </w:r>
          </w:p>
        </w:tc>
        <w:tc>
          <w:tcPr>
            <w:tcW w:w="2126" w:type="dxa"/>
            <w:shd w:val="clear" w:color="auto" w:fill="D9E2F3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10%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Number of patients impacted**</w:t>
            </w:r>
          </w:p>
        </w:tc>
        <w:tc>
          <w:tcPr>
            <w:tcW w:w="2126" w:type="dxa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3 320 000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  <w:shd w:val="clear" w:color="auto" w:fill="D9E2F3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% decrease in lumbar punctures*</w:t>
            </w:r>
          </w:p>
        </w:tc>
        <w:tc>
          <w:tcPr>
            <w:tcW w:w="2126" w:type="dxa"/>
            <w:shd w:val="clear" w:color="auto" w:fill="D9E2F3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2%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Avoided CSF tests**</w:t>
            </w:r>
          </w:p>
        </w:tc>
        <w:tc>
          <w:tcPr>
            <w:tcW w:w="2126" w:type="dxa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66 400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CSF-related cost per sample</w:t>
            </w:r>
          </w:p>
        </w:tc>
        <w:tc>
          <w:tcPr>
            <w:tcW w:w="2126" w:type="dxa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 xml:space="preserve">750 EUR </w:t>
            </w:r>
            <w:r w:rsidRPr="002D7076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(4)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 xml:space="preserve">Avoided CSF costs** </w:t>
            </w:r>
          </w:p>
        </w:tc>
        <w:tc>
          <w:tcPr>
            <w:tcW w:w="2126" w:type="dxa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49 800 000 EUR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  <w:shd w:val="clear" w:color="auto" w:fill="D9E2F3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% decrease in amyloid-PET scans*</w:t>
            </w:r>
          </w:p>
        </w:tc>
        <w:tc>
          <w:tcPr>
            <w:tcW w:w="2126" w:type="dxa"/>
            <w:shd w:val="clear" w:color="auto" w:fill="D9E2F3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0.5%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Avoided PET costs**</w:t>
            </w:r>
          </w:p>
        </w:tc>
        <w:tc>
          <w:tcPr>
            <w:tcW w:w="2126" w:type="dxa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16 600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PET-related cost per scan</w:t>
            </w:r>
          </w:p>
        </w:tc>
        <w:tc>
          <w:tcPr>
            <w:tcW w:w="2126" w:type="dxa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 xml:space="preserve">1350 EUR </w:t>
            </w:r>
            <w:r w:rsidRPr="002D7076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(4)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Avoided PET costs**</w:t>
            </w:r>
          </w:p>
        </w:tc>
        <w:tc>
          <w:tcPr>
            <w:tcW w:w="2126" w:type="dxa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22 410 000 EUR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  <w:shd w:val="clear" w:color="auto" w:fill="D9E2F3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% decrease in neuropsychological testing time*</w:t>
            </w:r>
          </w:p>
        </w:tc>
        <w:tc>
          <w:tcPr>
            <w:tcW w:w="2126" w:type="dxa"/>
            <w:shd w:val="clear" w:color="auto" w:fill="D9E2F3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10%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  <w:shd w:val="clear" w:color="auto" w:fill="FFFFFF"/>
          </w:tcPr>
          <w:p w:rsidR="00FD3414" w:rsidRPr="002D7076" w:rsidRDefault="00FD3414" w:rsidP="003F1812">
            <w:pPr>
              <w:jc w:val="both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Number of patients needing specialized testing (prodromal AD)</w:t>
            </w:r>
          </w:p>
        </w:tc>
        <w:tc>
          <w:tcPr>
            <w:tcW w:w="2126" w:type="dxa"/>
            <w:shd w:val="clear" w:color="auto" w:fill="FFFFFF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 xml:space="preserve">1 660 000 </w:t>
            </w:r>
            <w:r w:rsidRPr="002D7076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(1, 2)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Neuropsychological testing related cost per assessment</w:t>
            </w:r>
          </w:p>
        </w:tc>
        <w:tc>
          <w:tcPr>
            <w:tcW w:w="2126" w:type="dxa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 xml:space="preserve">500 EUR </w:t>
            </w:r>
            <w:r w:rsidRPr="002D7076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(4)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Reduction in testing cost**</w:t>
            </w:r>
          </w:p>
        </w:tc>
        <w:tc>
          <w:tcPr>
            <w:tcW w:w="2126" w:type="dxa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83 000 000 EUR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  <w:shd w:val="clear" w:color="auto" w:fill="D9E2F3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Total costs avoided**</w:t>
            </w:r>
          </w:p>
        </w:tc>
        <w:tc>
          <w:tcPr>
            <w:tcW w:w="2126" w:type="dxa"/>
            <w:shd w:val="clear" w:color="auto" w:fill="D9E2F3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155 210 000 EUR</w:t>
            </w:r>
          </w:p>
        </w:tc>
      </w:tr>
      <w:tr w:rsidR="00FD3414" w:rsidRPr="002D7076" w:rsidTr="003F1812">
        <w:trPr>
          <w:jc w:val="center"/>
        </w:trPr>
        <w:tc>
          <w:tcPr>
            <w:tcW w:w="8500" w:type="dxa"/>
            <w:gridSpan w:val="2"/>
            <w:shd w:val="clear" w:color="auto" w:fill="C5E0B3"/>
          </w:tcPr>
          <w:p w:rsidR="00FD3414" w:rsidRPr="002D7076" w:rsidRDefault="00FD3414" w:rsidP="003F1812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D7076">
              <w:rPr>
                <w:rFonts w:ascii="Times New Roman" w:hAnsi="Times New Roman"/>
                <w:i/>
                <w:iCs/>
                <w:lang w:val="en-GB"/>
              </w:rPr>
              <w:t>Impact of improved early AD diagnosis on appropriate use of DMTs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  <w:shd w:val="clear" w:color="auto" w:fill="FFFFFF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Number of people with AD (prodromal AD and dementia) seeking care / year in Europe</w:t>
            </w:r>
          </w:p>
        </w:tc>
        <w:tc>
          <w:tcPr>
            <w:tcW w:w="2126" w:type="dxa"/>
            <w:shd w:val="clear" w:color="auto" w:fill="FFFFFF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 xml:space="preserve">4 000 000 </w:t>
            </w:r>
            <w:r w:rsidRPr="002D7076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(1, 2)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% AD misdiagnosed in specialized care</w:t>
            </w:r>
          </w:p>
        </w:tc>
        <w:tc>
          <w:tcPr>
            <w:tcW w:w="2126" w:type="dxa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 xml:space="preserve">30% </w:t>
            </w:r>
            <w:r w:rsidRPr="002D7076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(5)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% patients eligible for DMTs</w:t>
            </w:r>
          </w:p>
        </w:tc>
        <w:tc>
          <w:tcPr>
            <w:tcW w:w="2126" w:type="dxa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10%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Number of DMT-eligible patients impacted**</w:t>
            </w:r>
          </w:p>
        </w:tc>
        <w:tc>
          <w:tcPr>
            <w:tcW w:w="2126" w:type="dxa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120 000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Improved early AD diagnosis leading to appropriate DMT use*</w:t>
            </w:r>
          </w:p>
        </w:tc>
        <w:tc>
          <w:tcPr>
            <w:tcW w:w="2126" w:type="dxa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 xml:space="preserve">10% </w:t>
            </w:r>
            <w:r w:rsidRPr="002D7076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(6)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Number of DMT-eligible patients impacted**</w:t>
            </w:r>
          </w:p>
        </w:tc>
        <w:tc>
          <w:tcPr>
            <w:tcW w:w="2126" w:type="dxa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12 000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Value of appropriate use</w:t>
            </w:r>
          </w:p>
        </w:tc>
        <w:tc>
          <w:tcPr>
            <w:tcW w:w="2126" w:type="dxa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 xml:space="preserve">5 700 EUR </w:t>
            </w:r>
            <w:r w:rsidRPr="002D7076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(7)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Value of improved use**</w:t>
            </w:r>
          </w:p>
        </w:tc>
        <w:tc>
          <w:tcPr>
            <w:tcW w:w="2126" w:type="dxa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68 400 000</w:t>
            </w:r>
            <w:r w:rsidRPr="002D707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D7076">
              <w:rPr>
                <w:rFonts w:ascii="Times New Roman" w:hAnsi="Times New Roman"/>
                <w:lang w:val="en-GB"/>
              </w:rPr>
              <w:t>EUR</w:t>
            </w:r>
          </w:p>
        </w:tc>
      </w:tr>
      <w:tr w:rsidR="00FD3414" w:rsidRPr="002D7076" w:rsidTr="003F1812">
        <w:trPr>
          <w:jc w:val="center"/>
        </w:trPr>
        <w:tc>
          <w:tcPr>
            <w:tcW w:w="8500" w:type="dxa"/>
            <w:gridSpan w:val="2"/>
            <w:shd w:val="clear" w:color="auto" w:fill="C5E0B3"/>
          </w:tcPr>
          <w:p w:rsidR="00FD3414" w:rsidRPr="002D7076" w:rsidRDefault="00FD3414" w:rsidP="003F1812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D7076">
              <w:rPr>
                <w:rFonts w:ascii="Times New Roman" w:hAnsi="Times New Roman"/>
                <w:i/>
                <w:iCs/>
                <w:lang w:val="en-GB"/>
              </w:rPr>
              <w:t>Impact of improved dementia risk detection and prevention in primary care (based on the FINGER model)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 xml:space="preserve">Number of patients with high risk of dementia identified </w:t>
            </w:r>
          </w:p>
        </w:tc>
        <w:tc>
          <w:tcPr>
            <w:tcW w:w="2126" w:type="dxa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 xml:space="preserve">22.56 million </w:t>
            </w:r>
            <w:r w:rsidRPr="002D7076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(1, 8)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  <w:shd w:val="clear" w:color="auto" w:fill="D9E2F3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Share participating in FINGER intervention program*</w:t>
            </w:r>
          </w:p>
        </w:tc>
        <w:tc>
          <w:tcPr>
            <w:tcW w:w="2126" w:type="dxa"/>
            <w:shd w:val="clear" w:color="auto" w:fill="D9E2F3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5%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Net monetary benefit per patient of participating in FINGER program</w:t>
            </w:r>
          </w:p>
        </w:tc>
        <w:tc>
          <w:tcPr>
            <w:tcW w:w="2126" w:type="dxa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 xml:space="preserve">3745 EUR </w:t>
            </w:r>
            <w:r w:rsidRPr="002D7076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(9)</w:t>
            </w:r>
          </w:p>
        </w:tc>
      </w:tr>
      <w:tr w:rsidR="00FD3414" w:rsidRPr="002D7076" w:rsidTr="003F1812">
        <w:trPr>
          <w:jc w:val="center"/>
        </w:trPr>
        <w:tc>
          <w:tcPr>
            <w:tcW w:w="6374" w:type="dxa"/>
          </w:tcPr>
          <w:p w:rsidR="00FD3414" w:rsidRPr="002D7076" w:rsidRDefault="00FD3414" w:rsidP="003F1812">
            <w:pPr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hAnsi="Times New Roman"/>
                <w:lang w:val="en-GB"/>
              </w:rPr>
              <w:t>Value of dementia risk detection and prevention**</w:t>
            </w:r>
          </w:p>
        </w:tc>
        <w:tc>
          <w:tcPr>
            <w:tcW w:w="2126" w:type="dxa"/>
          </w:tcPr>
          <w:p w:rsidR="00FD3414" w:rsidRPr="002D7076" w:rsidRDefault="00FD3414" w:rsidP="003F1812">
            <w:pPr>
              <w:jc w:val="right"/>
              <w:rPr>
                <w:rFonts w:ascii="Times New Roman" w:hAnsi="Times New Roman"/>
                <w:lang w:val="en-GB"/>
              </w:rPr>
            </w:pPr>
            <w:r w:rsidRPr="002D7076">
              <w:rPr>
                <w:rFonts w:ascii="Times New Roman" w:eastAsia="Calibri" w:hAnsi="Times New Roman"/>
                <w:sz w:val="21"/>
                <w:szCs w:val="21"/>
                <w:lang w:val="en-GB"/>
              </w:rPr>
              <w:t>4.2 billion EUR</w:t>
            </w:r>
          </w:p>
        </w:tc>
      </w:tr>
    </w:tbl>
    <w:p w:rsidR="00FD3414" w:rsidRPr="002D7076" w:rsidRDefault="00FD3414" w:rsidP="00FD3414">
      <w:pPr>
        <w:rPr>
          <w:rFonts w:ascii="Times New Roman" w:hAnsi="Times New Roman"/>
          <w:lang w:val="en-GB"/>
        </w:rPr>
      </w:pPr>
    </w:p>
    <w:p w:rsidR="00FD3414" w:rsidRPr="002D7076" w:rsidRDefault="00FD3414" w:rsidP="00FD3414">
      <w:pPr>
        <w:spacing w:after="40"/>
        <w:rPr>
          <w:rFonts w:ascii="Times New Roman" w:hAnsi="Times New Roman"/>
          <w:lang w:val="en-GB"/>
        </w:rPr>
      </w:pPr>
      <w:r w:rsidRPr="002D7076">
        <w:rPr>
          <w:rFonts w:ascii="Times New Roman" w:hAnsi="Times New Roman"/>
          <w:lang w:val="en-GB"/>
        </w:rPr>
        <w:t>In green cells are listed areas of impact, while in blue cells are listed estimated AD-RIDDLE project impact.</w:t>
      </w:r>
    </w:p>
    <w:p w:rsidR="00FD3414" w:rsidRPr="002D7076" w:rsidRDefault="00FD3414" w:rsidP="00FD3414">
      <w:pPr>
        <w:spacing w:after="40"/>
        <w:rPr>
          <w:rFonts w:ascii="Times New Roman" w:hAnsi="Times New Roman"/>
          <w:lang w:val="en-GB"/>
        </w:rPr>
      </w:pPr>
      <w:r w:rsidRPr="002D7076">
        <w:rPr>
          <w:rFonts w:ascii="Times New Roman" w:hAnsi="Times New Roman"/>
          <w:lang w:val="en-GB"/>
        </w:rPr>
        <w:t xml:space="preserve">Abbreviations: AD, Alzheimer's disease; CSF: cerebrospinal fluid; DMT, disease-modifying therapies; FINGER, Finnish Geriatric Intervention Study to Prevent Cognitive Impairment and Disability; PET, Positron Emission Tomography. </w:t>
      </w:r>
    </w:p>
    <w:p w:rsidR="00FD3414" w:rsidRPr="002D7076" w:rsidRDefault="00FD3414" w:rsidP="00FD3414">
      <w:pPr>
        <w:spacing w:after="40"/>
        <w:rPr>
          <w:rFonts w:ascii="Times New Roman" w:hAnsi="Times New Roman"/>
          <w:lang w:val="en-GB"/>
        </w:rPr>
      </w:pPr>
      <w:r w:rsidRPr="002D7076">
        <w:rPr>
          <w:rFonts w:ascii="Times New Roman" w:hAnsi="Times New Roman"/>
          <w:lang w:val="en-GB"/>
        </w:rPr>
        <w:t xml:space="preserve">* Estimation-based value for impact in the AD-RIDDLE project. ** Calculated value. </w:t>
      </w:r>
    </w:p>
    <w:p w:rsidR="00FD3414" w:rsidRDefault="00FD3414" w:rsidP="00FD3414">
      <w:pPr>
        <w:pStyle w:val="EndNoteBibliography"/>
        <w:spacing w:after="240"/>
      </w:pPr>
    </w:p>
    <w:p w:rsidR="00FD3414" w:rsidRPr="00347222" w:rsidRDefault="00FD3414" w:rsidP="00FD3414">
      <w:pPr>
        <w:pStyle w:val="EndNoteBibliography"/>
        <w:spacing w:after="240"/>
        <w:rPr>
          <w:b/>
          <w:bCs/>
        </w:rPr>
      </w:pPr>
      <w:r>
        <w:rPr>
          <w:b/>
          <w:bCs/>
        </w:rPr>
        <w:t>References</w:t>
      </w:r>
    </w:p>
    <w:p w:rsidR="00FD3414" w:rsidRDefault="00FD3414" w:rsidP="00FD3414">
      <w:pPr>
        <w:pStyle w:val="EndNoteBibliography"/>
        <w:numPr>
          <w:ilvl w:val="0"/>
          <w:numId w:val="1"/>
        </w:numPr>
        <w:spacing w:after="240"/>
      </w:pPr>
      <w:r w:rsidRPr="00662835">
        <w:t>W</w:t>
      </w:r>
      <w:r>
        <w:t>orld Health Organization</w:t>
      </w:r>
      <w:r w:rsidRPr="00662835">
        <w:t xml:space="preserve">. Global status report on the public health response to dementia. </w:t>
      </w:r>
      <w:r w:rsidRPr="00662835">
        <w:lastRenderedPageBreak/>
        <w:t xml:space="preserve">Geneva: World Health Organization. </w:t>
      </w:r>
      <w:proofErr w:type="spellStart"/>
      <w:r w:rsidRPr="00662835">
        <w:t>Licence</w:t>
      </w:r>
      <w:proofErr w:type="spellEnd"/>
      <w:r w:rsidRPr="00662835">
        <w:t xml:space="preserve">: CC BY-NC-SA 3.0 IGO. </w:t>
      </w:r>
      <w:r>
        <w:t xml:space="preserve">2021. </w:t>
      </w:r>
      <w:r w:rsidRPr="0079113B">
        <w:t>https://www.who.int/publications/i/item/9789240033245</w:t>
      </w:r>
      <w:r w:rsidRPr="00662835">
        <w:t xml:space="preserve"> Accessed 14 January 2024</w:t>
      </w:r>
    </w:p>
    <w:p w:rsidR="00FD3414" w:rsidRPr="00662835" w:rsidRDefault="00FD3414" w:rsidP="00FD3414">
      <w:pPr>
        <w:pStyle w:val="EndNoteBibliography"/>
        <w:numPr>
          <w:ilvl w:val="0"/>
          <w:numId w:val="1"/>
        </w:numPr>
        <w:spacing w:after="240"/>
      </w:pPr>
      <w:r w:rsidRPr="00662835">
        <w:t xml:space="preserve">Wolters FJ, </w:t>
      </w:r>
      <w:proofErr w:type="spellStart"/>
      <w:r w:rsidRPr="00662835">
        <w:t>Chibnik</w:t>
      </w:r>
      <w:proofErr w:type="spellEnd"/>
      <w:r w:rsidRPr="00662835">
        <w:t xml:space="preserve"> LB, </w:t>
      </w:r>
      <w:proofErr w:type="spellStart"/>
      <w:r w:rsidRPr="00662835">
        <w:t>Waziry</w:t>
      </w:r>
      <w:proofErr w:type="spellEnd"/>
      <w:r w:rsidRPr="00662835">
        <w:t xml:space="preserve"> R, Anderson R, </w:t>
      </w:r>
      <w:proofErr w:type="spellStart"/>
      <w:r w:rsidRPr="00662835">
        <w:t>Berr</w:t>
      </w:r>
      <w:proofErr w:type="spellEnd"/>
      <w:r w:rsidRPr="00662835">
        <w:t xml:space="preserve"> C, </w:t>
      </w:r>
      <w:proofErr w:type="spellStart"/>
      <w:r w:rsidRPr="00662835">
        <w:t>Beiser</w:t>
      </w:r>
      <w:proofErr w:type="spellEnd"/>
      <w:r w:rsidRPr="00662835">
        <w:t xml:space="preserve"> A, et al. Twenty-seven-year time trends in dementia incidence in Europe and the United States: The Alzheimer Cohorts Consortium. Neurology. 2020;95(5</w:t>
      </w:r>
      <w:proofErr w:type="gramStart"/>
      <w:r w:rsidRPr="00662835">
        <w:t>):e</w:t>
      </w:r>
      <w:proofErr w:type="gramEnd"/>
      <w:r w:rsidRPr="00662835">
        <w:t>519-e31.</w:t>
      </w:r>
      <w:r>
        <w:t xml:space="preserve"> </w:t>
      </w:r>
      <w:r w:rsidRPr="0006021D">
        <w:t>doi:10.1212/WNL.0000000000010022</w:t>
      </w:r>
    </w:p>
    <w:p w:rsidR="00FD3414" w:rsidRPr="00662835" w:rsidRDefault="00FD3414" w:rsidP="00FD3414">
      <w:pPr>
        <w:pStyle w:val="EndNoteBibliography"/>
        <w:numPr>
          <w:ilvl w:val="0"/>
          <w:numId w:val="1"/>
        </w:numPr>
        <w:spacing w:after="240"/>
      </w:pPr>
      <w:r w:rsidRPr="00662835">
        <w:t xml:space="preserve">AE. Alzheimer Europe. European </w:t>
      </w:r>
      <w:proofErr w:type="spellStart"/>
      <w:r w:rsidRPr="00662835">
        <w:t>Carers’</w:t>
      </w:r>
      <w:proofErr w:type="spellEnd"/>
      <w:r w:rsidRPr="00662835">
        <w:t xml:space="preserve"> Report 2018: </w:t>
      </w:r>
      <w:proofErr w:type="spellStart"/>
      <w:r w:rsidRPr="00662835">
        <w:t>Carers’</w:t>
      </w:r>
      <w:proofErr w:type="spellEnd"/>
      <w:r w:rsidRPr="00662835">
        <w:t xml:space="preserve"> experiences of diagnosis in five European countries.</w:t>
      </w:r>
      <w:r>
        <w:t xml:space="preserve"> 2018</w:t>
      </w:r>
      <w:r w:rsidRPr="00662835">
        <w:t xml:space="preserve"> </w:t>
      </w:r>
      <w:r w:rsidRPr="0079113B">
        <w:t>https://www.alzheimer-europe.org/resources/publications/2018-european-carers-report-carers-experiences-diagnosis-five-european</w:t>
      </w:r>
      <w:r w:rsidRPr="00662835">
        <w:t xml:space="preserve"> Accessed 14 January 2024. </w:t>
      </w:r>
    </w:p>
    <w:p w:rsidR="00FD3414" w:rsidRPr="00662835" w:rsidRDefault="00FD3414" w:rsidP="00FD3414">
      <w:pPr>
        <w:pStyle w:val="EndNoteBibliography"/>
        <w:numPr>
          <w:ilvl w:val="0"/>
          <w:numId w:val="1"/>
        </w:numPr>
        <w:spacing w:after="240"/>
      </w:pPr>
      <w:r w:rsidRPr="00662835">
        <w:t xml:space="preserve">Gauthier S, Rosa-Neto P, </w:t>
      </w:r>
      <w:proofErr w:type="spellStart"/>
      <w:r w:rsidRPr="00662835">
        <w:t>Morais</w:t>
      </w:r>
      <w:proofErr w:type="spellEnd"/>
      <w:r w:rsidRPr="00662835">
        <w:t xml:space="preserve"> JA, Webster C. World Alzheimer Report 2021: Journey through the diagnosis of dementia. London, England: Alzheimer’s Disease International. </w:t>
      </w:r>
      <w:r w:rsidRPr="0079113B">
        <w:t>https://www.alzint.org/u/World-Alzheimer-Report-2021.pdf</w:t>
      </w:r>
      <w:r w:rsidRPr="00662835">
        <w:t xml:space="preserve"> Accessed 14 January 2024. </w:t>
      </w:r>
    </w:p>
    <w:p w:rsidR="00FD3414" w:rsidRPr="00662835" w:rsidRDefault="00FD3414" w:rsidP="00FD3414">
      <w:pPr>
        <w:pStyle w:val="EndNoteBibliography"/>
        <w:numPr>
          <w:ilvl w:val="0"/>
          <w:numId w:val="1"/>
        </w:numPr>
        <w:spacing w:after="240"/>
      </w:pPr>
      <w:r w:rsidRPr="00662835">
        <w:t>Hansson O. Biomarkers for neurodegenerative diseases. Nat Med. 2021;27(6):954-63.</w:t>
      </w:r>
      <w:r>
        <w:t xml:space="preserve"> </w:t>
      </w:r>
      <w:r w:rsidRPr="0006021D">
        <w:t>doi:10.1038/s41591-021-01382-x</w:t>
      </w:r>
    </w:p>
    <w:p w:rsidR="00FD3414" w:rsidRPr="00662835" w:rsidRDefault="00FD3414" w:rsidP="00FD3414">
      <w:pPr>
        <w:pStyle w:val="EndNoteBibliography"/>
        <w:numPr>
          <w:ilvl w:val="0"/>
          <w:numId w:val="1"/>
        </w:numPr>
        <w:spacing w:after="240"/>
      </w:pPr>
      <w:r w:rsidRPr="00662835">
        <w:t xml:space="preserve">Anderson TS, </w:t>
      </w:r>
      <w:proofErr w:type="spellStart"/>
      <w:r w:rsidRPr="00662835">
        <w:t>Ayanian</w:t>
      </w:r>
      <w:proofErr w:type="spellEnd"/>
      <w:r w:rsidRPr="00662835">
        <w:t xml:space="preserve"> JZ, Souza J, Landon BE. Representativeness of Participants Eligible to Be Enrolled in Clinical Trials of Aducanumab for Alzheimer Disease Compared </w:t>
      </w:r>
      <w:proofErr w:type="gramStart"/>
      <w:r w:rsidRPr="00662835">
        <w:t>With</w:t>
      </w:r>
      <w:proofErr w:type="gramEnd"/>
      <w:r w:rsidRPr="00662835">
        <w:t xml:space="preserve"> Medicare Beneficiaries With Alzheimer Disease and Mild Cognitive Impairment. JAMA. 2021;326(16):1627-9.</w:t>
      </w:r>
      <w:r>
        <w:t xml:space="preserve"> </w:t>
      </w:r>
      <w:r w:rsidRPr="009018C0">
        <w:t>doi:10.1001/jama.2021.15286</w:t>
      </w:r>
    </w:p>
    <w:p w:rsidR="00FD3414" w:rsidRPr="00662835" w:rsidRDefault="00FD3414" w:rsidP="00FD3414">
      <w:pPr>
        <w:pStyle w:val="EndNoteBibliography"/>
        <w:numPr>
          <w:ilvl w:val="0"/>
          <w:numId w:val="1"/>
        </w:numPr>
        <w:spacing w:after="240"/>
      </w:pPr>
      <w:r w:rsidRPr="00662835">
        <w:t xml:space="preserve">ICER. Institute for Clinical and Economic Review. </w:t>
      </w:r>
      <w:r w:rsidRPr="0079113B">
        <w:t>https://icer.org/</w:t>
      </w:r>
      <w:r w:rsidRPr="00662835">
        <w:t xml:space="preserve"> Accessed 14 January 2024 </w:t>
      </w:r>
    </w:p>
    <w:p w:rsidR="00FD3414" w:rsidRPr="00662835" w:rsidRDefault="00FD3414" w:rsidP="00FD3414">
      <w:pPr>
        <w:pStyle w:val="EndNoteBibliography"/>
        <w:numPr>
          <w:ilvl w:val="0"/>
          <w:numId w:val="1"/>
        </w:numPr>
        <w:spacing w:after="240"/>
      </w:pPr>
      <w:proofErr w:type="spellStart"/>
      <w:r w:rsidRPr="00DE3DF6">
        <w:rPr>
          <w:lang w:val="fr-FR"/>
        </w:rPr>
        <w:t>Ngandu</w:t>
      </w:r>
      <w:proofErr w:type="spellEnd"/>
      <w:r w:rsidRPr="00DE3DF6">
        <w:rPr>
          <w:lang w:val="fr-FR"/>
        </w:rPr>
        <w:t xml:space="preserve"> T, </w:t>
      </w:r>
      <w:proofErr w:type="spellStart"/>
      <w:r w:rsidRPr="00DE3DF6">
        <w:rPr>
          <w:lang w:val="fr-FR"/>
        </w:rPr>
        <w:t>Lehtisalo</w:t>
      </w:r>
      <w:proofErr w:type="spellEnd"/>
      <w:r w:rsidRPr="00DE3DF6">
        <w:rPr>
          <w:lang w:val="fr-FR"/>
        </w:rPr>
        <w:t xml:space="preserve"> J, </w:t>
      </w:r>
      <w:proofErr w:type="spellStart"/>
      <w:r w:rsidRPr="00DE3DF6">
        <w:rPr>
          <w:lang w:val="fr-FR"/>
        </w:rPr>
        <w:t>Levalahti</w:t>
      </w:r>
      <w:proofErr w:type="spellEnd"/>
      <w:r w:rsidRPr="00DE3DF6">
        <w:rPr>
          <w:lang w:val="fr-FR"/>
        </w:rPr>
        <w:t xml:space="preserve"> E, </w:t>
      </w:r>
      <w:proofErr w:type="spellStart"/>
      <w:r w:rsidRPr="00DE3DF6">
        <w:rPr>
          <w:lang w:val="fr-FR"/>
        </w:rPr>
        <w:t>Laatikainen</w:t>
      </w:r>
      <w:proofErr w:type="spellEnd"/>
      <w:r w:rsidRPr="00DE3DF6">
        <w:rPr>
          <w:lang w:val="fr-FR"/>
        </w:rPr>
        <w:t xml:space="preserve"> T, </w:t>
      </w:r>
      <w:proofErr w:type="spellStart"/>
      <w:r w:rsidRPr="00DE3DF6">
        <w:rPr>
          <w:lang w:val="fr-FR"/>
        </w:rPr>
        <w:t>Lindstrom</w:t>
      </w:r>
      <w:proofErr w:type="spellEnd"/>
      <w:r w:rsidRPr="00DE3DF6">
        <w:rPr>
          <w:lang w:val="fr-FR"/>
        </w:rPr>
        <w:t xml:space="preserve"> J, </w:t>
      </w:r>
      <w:proofErr w:type="spellStart"/>
      <w:r w:rsidRPr="00DE3DF6">
        <w:rPr>
          <w:lang w:val="fr-FR"/>
        </w:rPr>
        <w:t>Peltonen</w:t>
      </w:r>
      <w:proofErr w:type="spellEnd"/>
      <w:r w:rsidRPr="00DE3DF6">
        <w:rPr>
          <w:lang w:val="fr-FR"/>
        </w:rPr>
        <w:t xml:space="preserve"> M, et al. </w:t>
      </w:r>
      <w:r w:rsidRPr="00662835">
        <w:t>Recruitment and baseline characteristics of participants in the Finnish Geriatric Intervention Study to Prevent Cognitive Impairment and Disability (FINGER)-a randomized controlled lifestyle trial. Int J Environ Res Public Health. 2014;11(9):9345-60.</w:t>
      </w:r>
      <w:r>
        <w:t xml:space="preserve"> </w:t>
      </w:r>
      <w:proofErr w:type="spellStart"/>
      <w:proofErr w:type="gramStart"/>
      <w:r>
        <w:t>doi:</w:t>
      </w:r>
      <w:r w:rsidRPr="009018C0">
        <w:t>https</w:t>
      </w:r>
      <w:proofErr w:type="spellEnd"/>
      <w:r w:rsidRPr="009018C0">
        <w:t>://doi.org/10.3390/ijerph110909345</w:t>
      </w:r>
      <w:proofErr w:type="gramEnd"/>
    </w:p>
    <w:p w:rsidR="00FD3414" w:rsidRDefault="00FD3414" w:rsidP="00FD3414">
      <w:pPr>
        <w:pStyle w:val="EndNoteBibliography"/>
        <w:numPr>
          <w:ilvl w:val="0"/>
          <w:numId w:val="1"/>
        </w:numPr>
        <w:spacing w:after="240"/>
      </w:pPr>
      <w:proofErr w:type="spellStart"/>
      <w:r w:rsidRPr="00662835">
        <w:t>Wimo</w:t>
      </w:r>
      <w:proofErr w:type="spellEnd"/>
      <w:r w:rsidRPr="00662835">
        <w:t xml:space="preserve"> A, </w:t>
      </w:r>
      <w:proofErr w:type="spellStart"/>
      <w:r w:rsidRPr="00662835">
        <w:t>Handels</w:t>
      </w:r>
      <w:proofErr w:type="spellEnd"/>
      <w:r w:rsidRPr="00662835">
        <w:t xml:space="preserve"> R, </w:t>
      </w:r>
      <w:proofErr w:type="spellStart"/>
      <w:r w:rsidRPr="00662835">
        <w:t>Antikainen</w:t>
      </w:r>
      <w:proofErr w:type="spellEnd"/>
      <w:r w:rsidRPr="00662835">
        <w:t xml:space="preserve"> R, </w:t>
      </w:r>
      <w:proofErr w:type="spellStart"/>
      <w:r w:rsidRPr="00662835">
        <w:t>Eriksdotter</w:t>
      </w:r>
      <w:proofErr w:type="spellEnd"/>
      <w:r w:rsidRPr="00662835">
        <w:t xml:space="preserve"> M, Jonsson L, Knapp M, et al. Dementia prevention: The potential long-term cost-effectiveness of the FINGER prevention program. </w:t>
      </w:r>
      <w:proofErr w:type="spellStart"/>
      <w:r w:rsidRPr="00662835">
        <w:t>Alzheimers</w:t>
      </w:r>
      <w:proofErr w:type="spellEnd"/>
      <w:r w:rsidRPr="00662835">
        <w:t xml:space="preserve"> Dement. 2022.</w:t>
      </w:r>
      <w:r w:rsidRPr="008E5A57">
        <w:t xml:space="preserve"> doi:10.1002/alz.12698</w:t>
      </w:r>
    </w:p>
    <w:p w:rsidR="00314A23" w:rsidRDefault="00314A23"/>
    <w:sectPr w:rsidR="00314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B32EC"/>
    <w:multiLevelType w:val="hybridMultilevel"/>
    <w:tmpl w:val="7F161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36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14"/>
    <w:rsid w:val="00314A23"/>
    <w:rsid w:val="00315EA5"/>
    <w:rsid w:val="00FD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908B85D-DE2B-D348-91C5-9C920699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3414"/>
    <w:pPr>
      <w:widowControl w:val="0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D3414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FD3414"/>
    <w:pPr>
      <w:jc w:val="both"/>
    </w:pPr>
    <w:rPr>
      <w:rFonts w:ascii="Times New Roman" w:hAnsi="Times New Roman"/>
    </w:rPr>
  </w:style>
  <w:style w:type="character" w:customStyle="1" w:styleId="EndNoteBibliographyChar">
    <w:name w:val="EndNote Bibliography Char"/>
    <w:basedOn w:val="Policepardfaut"/>
    <w:link w:val="EndNoteBibliography"/>
    <w:rsid w:val="00FD3414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Giry</dc:creator>
  <cp:keywords/>
  <dc:description/>
  <cp:lastModifiedBy>Carine Giry</cp:lastModifiedBy>
  <cp:revision>1</cp:revision>
  <dcterms:created xsi:type="dcterms:W3CDTF">2024-01-19T12:43:00Z</dcterms:created>
  <dcterms:modified xsi:type="dcterms:W3CDTF">2024-01-19T12:43:00Z</dcterms:modified>
</cp:coreProperties>
</file>