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0" w:after="200"/>
        <w:jc w:val="center"/>
        <w:rPr>
          <w:rFonts w:ascii="Times New Roman" w:hAnsi="Times New Roman" w:eastAsia="Times New Roman" w:cs="Times New Roman"/>
          <w:b/>
          <w:b/>
          <w:sz w:val="36"/>
          <w:szCs w:val="36"/>
        </w:rPr>
      </w:pPr>
      <w:bookmarkStart w:id="0" w:name="_gneisg86skvm"/>
      <w:bookmarkEnd w:id="0"/>
      <w:r>
        <w:rPr>
          <w:rFonts w:eastAsia="Times New Roman" w:cs="Times New Roman" w:ascii="Times New Roman" w:hAnsi="Times New Roman"/>
          <w:b/>
          <w:sz w:val="36"/>
          <w:szCs w:val="36"/>
        </w:rPr>
        <w:t>Supplementary Material: Data-driven thresholding statistically biases ATN profiling across cohort datasets</w:t>
      </w:r>
    </w:p>
    <w:p>
      <w:pPr>
        <w:pStyle w:val="Normal"/>
        <w:spacing w:lineRule="auto" w:line="24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Yasamin Salimi</w:t>
      </w:r>
      <w:r>
        <w:rPr>
          <w:rFonts w:eastAsia="Times New Roman" w:cs="Times New Roman" w:ascii="Times New Roman" w:hAnsi="Times New Roman"/>
          <w:sz w:val="20"/>
          <w:szCs w:val="20"/>
          <w:vertAlign w:val="superscript"/>
        </w:rPr>
        <w:t>1,2</w:t>
      </w:r>
      <w:r>
        <w:rPr>
          <w:rFonts w:eastAsia="Times New Roman" w:cs="Times New Roman" w:ascii="Times New Roman" w:hAnsi="Times New Roman"/>
          <w:sz w:val="20"/>
          <w:szCs w:val="20"/>
        </w:rPr>
        <w:t>, Daniel Domingo-Fernández</w:t>
      </w:r>
      <w:r>
        <w:rPr>
          <w:rFonts w:eastAsia="Times New Roman" w:cs="Times New Roman" w:ascii="Times New Roman" w:hAnsi="Times New Roman"/>
          <w:sz w:val="20"/>
          <w:szCs w:val="20"/>
          <w:vertAlign w:val="superscript"/>
        </w:rPr>
        <w:t>1</w:t>
      </w:r>
      <w:r>
        <w:rPr>
          <w:rFonts w:eastAsia="Times New Roman" w:cs="Times New Roman" w:ascii="Times New Roman" w:hAnsi="Times New Roman"/>
          <w:sz w:val="20"/>
          <w:szCs w:val="20"/>
        </w:rPr>
        <w:t>, Martin Hofmann-Apitius</w:t>
      </w:r>
      <w:r>
        <w:rPr>
          <w:rFonts w:eastAsia="Times New Roman" w:cs="Times New Roman" w:ascii="Times New Roman" w:hAnsi="Times New Roman"/>
          <w:sz w:val="20"/>
          <w:szCs w:val="20"/>
          <w:vertAlign w:val="superscript"/>
        </w:rPr>
        <w:t>1,2</w:t>
      </w:r>
      <w:r>
        <w:rPr>
          <w:rFonts w:eastAsia="Times New Roman" w:cs="Times New Roman" w:ascii="Times New Roman" w:hAnsi="Times New Roman"/>
          <w:sz w:val="20"/>
          <w:szCs w:val="20"/>
        </w:rPr>
        <w:t>, and Colin Birkenbihl</w:t>
      </w:r>
      <w:r>
        <w:rPr>
          <w:rFonts w:eastAsia="Times New Roman" w:cs="Times New Roman" w:ascii="Times New Roman" w:hAnsi="Times New Roman"/>
          <w:sz w:val="20"/>
          <w:szCs w:val="20"/>
          <w:vertAlign w:val="superscript"/>
        </w:rPr>
        <w:t>1,2</w:t>
      </w:r>
      <w:r>
        <w:rPr>
          <w:rFonts w:eastAsia="Times New Roman" w:cs="Times New Roman" w:ascii="Times New Roman" w:hAnsi="Times New Roman"/>
          <w:sz w:val="20"/>
          <w:szCs w:val="20"/>
        </w:rPr>
        <w:t>, for the Alzheimer's Disease Neuroimaging Initiative</w:t>
      </w:r>
      <w:r>
        <w:rPr>
          <w:rFonts w:eastAsia="Times New Roman" w:cs="Times New Roman" w:ascii="Times New Roman" w:hAnsi="Times New Roman"/>
          <w:sz w:val="20"/>
          <w:szCs w:val="20"/>
          <w:vertAlign w:val="superscript"/>
        </w:rPr>
        <w:t>*</w:t>
      </w:r>
      <w:r>
        <w:rPr>
          <w:rFonts w:eastAsia="Times New Roman" w:cs="Times New Roman" w:ascii="Times New Roman" w:hAnsi="Times New Roman"/>
          <w:sz w:val="20"/>
          <w:szCs w:val="20"/>
        </w:rPr>
        <w:t>, the Japanese Alzheimer’s Disease Neuroimaging Initiative</w:t>
      </w:r>
      <w:r>
        <w:rPr>
          <w:rFonts w:eastAsia="Times New Roman" w:cs="Times New Roman" w:ascii="Times New Roman" w:hAnsi="Times New Roman"/>
          <w:sz w:val="20"/>
          <w:szCs w:val="20"/>
          <w:vertAlign w:val="superscript"/>
        </w:rPr>
        <w:t>†</w:t>
      </w:r>
      <w:r>
        <w:rPr>
          <w:rFonts w:eastAsia="Times New Roman" w:cs="Times New Roman" w:ascii="Times New Roman" w:hAnsi="Times New Roman"/>
          <w:sz w:val="20"/>
          <w:szCs w:val="20"/>
        </w:rPr>
        <w:t>, the Alzheimer's Disease Repository Without Borders Investigators</w:t>
      </w:r>
      <w:r>
        <w:rPr>
          <w:rFonts w:eastAsia="Times New Roman" w:cs="Times New Roman" w:ascii="Times New Roman" w:hAnsi="Times New Roman"/>
          <w:sz w:val="20"/>
          <w:szCs w:val="20"/>
          <w:vertAlign w:val="superscript"/>
        </w:rPr>
        <w:t>‡</w:t>
      </w:r>
      <w:r>
        <w:rPr>
          <w:rFonts w:eastAsia="Times New Roman" w:cs="Times New Roman" w:ascii="Times New Roman" w:hAnsi="Times New Roman"/>
          <w:sz w:val="20"/>
          <w:szCs w:val="20"/>
        </w:rPr>
        <w:t>, for the European Prevention of Alzheimer’s Disease (EPAD) Consortium</w:t>
      </w:r>
      <w:r>
        <w:rPr>
          <w:rFonts w:eastAsia="Times New Roman" w:cs="Times New Roman" w:ascii="Times New Roman" w:hAnsi="Times New Roman"/>
          <w:sz w:val="20"/>
          <w:szCs w:val="20"/>
          <w:vertAlign w:val="superscript"/>
        </w:rPr>
        <w:t>§</w:t>
      </w:r>
    </w:p>
    <w:p>
      <w:pPr>
        <w:pStyle w:val="Normal"/>
        <w:spacing w:lineRule="auto" w:line="240"/>
        <w:rPr>
          <w:rFonts w:ascii="Times New Roman" w:hAnsi="Times New Roman" w:eastAsia="Times New Roman" w:cs="Times New Roman"/>
          <w:sz w:val="20"/>
          <w:szCs w:val="20"/>
          <w:vertAlign w:val="superscript"/>
        </w:rPr>
      </w:pPr>
      <w:r>
        <w:rPr>
          <w:rFonts w:eastAsia="Times New Roman" w:cs="Times New Roman" w:ascii="Times New Roman" w:hAnsi="Times New Roman"/>
          <w:sz w:val="20"/>
          <w:szCs w:val="20"/>
          <w:vertAlign w:val="superscript"/>
        </w:rPr>
      </w:r>
    </w:p>
    <w:p>
      <w:pPr>
        <w:pStyle w:val="Normal"/>
        <w:spacing w:lineRule="auto" w:line="240"/>
        <w:rPr>
          <w:rFonts w:ascii="Times New Roman" w:hAnsi="Times New Roman" w:eastAsia="Times New Roman" w:cs="Times New Roman"/>
          <w:sz w:val="20"/>
          <w:szCs w:val="20"/>
          <w:vertAlign w:val="superscript"/>
        </w:rPr>
      </w:pPr>
      <w:r>
        <w:rPr>
          <w:rFonts w:eastAsia="Times New Roman" w:cs="Times New Roman" w:ascii="Times New Roman" w:hAnsi="Times New Roman"/>
          <w:sz w:val="20"/>
          <w:szCs w:val="20"/>
          <w:vertAlign w:val="superscript"/>
        </w:rPr>
      </w:r>
    </w:p>
    <w:p>
      <w:pPr>
        <w:pStyle w:val="Normal"/>
        <w:spacing w:lineRule="auto" w:line="360" w:before="0" w:after="160"/>
        <w:jc w:val="both"/>
        <w:rPr>
          <w:rFonts w:ascii="Times New Roman" w:hAnsi="Times New Roman" w:eastAsia="Times New Roman" w:cs="Times New Roman"/>
          <w:sz w:val="20"/>
          <w:szCs w:val="20"/>
        </w:rPr>
      </w:pPr>
      <w:r>
        <w:rPr>
          <w:rFonts w:eastAsia="Times New Roman" w:cs="Times New Roman" w:ascii="Times New Roman" w:hAnsi="Times New Roman"/>
          <w:b/>
          <w:sz w:val="24"/>
          <w:szCs w:val="24"/>
        </w:rPr>
        <w:t>Author affiliations:</w:t>
      </w:r>
    </w:p>
    <w:p>
      <w:pPr>
        <w:pStyle w:val="Normal"/>
        <w:numPr>
          <w:ilvl w:val="0"/>
          <w:numId w:val="2"/>
        </w:numPr>
        <w:spacing w:before="24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Department of Bioinformatics, Fraunhofer Institute for Algorithms and Scientific Computing (SCAI), Sankt Augustin 53757, Germany</w:t>
      </w:r>
    </w:p>
    <w:p>
      <w:pPr>
        <w:pStyle w:val="Normal"/>
        <w:numPr>
          <w:ilvl w:val="0"/>
          <w:numId w:val="2"/>
        </w:numPr>
        <w:spacing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Bonn-Aachen International Center for IT, Rheinische Friedrich-Wilhelms-Universität Bonn, Bonn 53115, Germany</w:t>
      </w:r>
    </w:p>
    <w:p>
      <w:pPr>
        <w:pStyle w:val="Normal"/>
        <w:spacing w:before="240" w:after="240"/>
        <w:jc w:val="both"/>
        <w:rPr>
          <w:highlight w:val="white"/>
        </w:rPr>
      </w:pPr>
      <w:r>
        <w:rPr>
          <w:rFonts w:eastAsia="Times New Roman" w:cs="Times New Roman" w:ascii="Times New Roman" w:hAnsi="Times New Roman"/>
          <w:sz w:val="24"/>
          <w:szCs w:val="24"/>
        </w:rPr>
        <w:t>Correspondence to: Yasamin Salimi (</w:t>
      </w:r>
      <w:hyperlink r:id="rId2">
        <w:r>
          <w:rPr>
            <w:rFonts w:eastAsia="Times New Roman" w:cs="Times New Roman" w:ascii="Times New Roman" w:hAnsi="Times New Roman"/>
            <w:color w:val="1155CC"/>
            <w:sz w:val="24"/>
            <w:szCs w:val="24"/>
            <w:u w:val="single"/>
          </w:rPr>
          <w:t>yasamin.salimi@scai.fraunhofer.de</w:t>
        </w:r>
      </w:hyperlink>
      <w:r>
        <w:rPr>
          <w:rFonts w:eastAsia="Times New Roman" w:cs="Times New Roman" w:ascii="Times New Roman" w:hAnsi="Times New Roman"/>
          <w:sz w:val="24"/>
          <w:szCs w:val="24"/>
        </w:rPr>
        <w:t>), Colin Birkenbihl (</w:t>
      </w:r>
      <w:hyperlink r:id="rId3">
        <w:r>
          <w:rPr>
            <w:rFonts w:eastAsia="Times New Roman" w:cs="Times New Roman" w:ascii="Times New Roman" w:hAnsi="Times New Roman"/>
            <w:color w:val="1155CC"/>
            <w:sz w:val="24"/>
            <w:szCs w:val="24"/>
            <w:u w:val="single"/>
          </w:rPr>
          <w:t>colin.birkenbihl@scai.fraunhofer.de</w:t>
        </w:r>
      </w:hyperlink>
      <w:r>
        <w:rPr>
          <w:rFonts w:eastAsia="Times New Roman" w:cs="Times New Roman" w:ascii="Times New Roman" w:hAnsi="Times New Roman"/>
          <w:sz w:val="24"/>
          <w:szCs w:val="24"/>
        </w:rPr>
        <w:t>), Schloß Birlinghoven, Sankt Augustin 53757, Germany</w:t>
      </w:r>
    </w:p>
    <w:tbl>
      <w:tblPr>
        <w:tblStyle w:val="a"/>
        <w:tblW w:w="9863"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1223"/>
        <w:gridCol w:w="720"/>
        <w:gridCol w:w="720"/>
        <w:gridCol w:w="720"/>
        <w:gridCol w:w="720"/>
        <w:gridCol w:w="720"/>
        <w:gridCol w:w="720"/>
        <w:gridCol w:w="720"/>
        <w:gridCol w:w="720"/>
        <w:gridCol w:w="720"/>
        <w:gridCol w:w="720"/>
        <w:gridCol w:w="720"/>
        <w:gridCol w:w="719"/>
      </w:tblGrid>
      <w:tr>
        <w:trPr/>
        <w:tc>
          <w:tcPr>
            <w:tcW w:w="1223"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Cohort</w:t>
            </w:r>
          </w:p>
        </w:tc>
        <w:tc>
          <w:tcPr>
            <w:tcW w:w="72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 Patients</w:t>
            </w:r>
          </w:p>
        </w:tc>
        <w:tc>
          <w:tcPr>
            <w:tcW w:w="72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Age</w:t>
            </w:r>
          </w:p>
        </w:tc>
        <w:tc>
          <w:tcPr>
            <w:tcW w:w="72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Female %</w:t>
            </w:r>
          </w:p>
        </w:tc>
        <w:tc>
          <w:tcPr>
            <w:tcW w:w="72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Education</w:t>
            </w:r>
          </w:p>
        </w:tc>
        <w:tc>
          <w:tcPr>
            <w:tcW w:w="72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APOE4 %</w:t>
            </w:r>
          </w:p>
        </w:tc>
        <w:tc>
          <w:tcPr>
            <w:tcW w:w="72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CDR</w:t>
            </w:r>
          </w:p>
        </w:tc>
        <w:tc>
          <w:tcPr>
            <w:tcW w:w="72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MMSE</w:t>
            </w:r>
          </w:p>
        </w:tc>
        <w:tc>
          <w:tcPr>
            <w:tcW w:w="72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CDRSB</w:t>
            </w:r>
          </w:p>
        </w:tc>
        <w:tc>
          <w:tcPr>
            <w:tcW w:w="72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Hippocampus</w:t>
            </w:r>
          </w:p>
        </w:tc>
        <w:tc>
          <w:tcPr>
            <w:tcW w:w="72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tTau</w:t>
            </w:r>
          </w:p>
        </w:tc>
        <w:tc>
          <w:tcPr>
            <w:tcW w:w="72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pTau</w:t>
            </w:r>
          </w:p>
        </w:tc>
        <w:tc>
          <w:tcPr>
            <w:tcW w:w="719"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Aβ1-42</w:t>
            </w:r>
          </w:p>
        </w:tc>
      </w:tr>
      <w:tr>
        <w:trPr/>
        <w:tc>
          <w:tcPr>
            <w:tcW w:w="1223"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ADNI [1]</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1215</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73.2 (7.3)</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44.7</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16.0 (2.8)</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46.4</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0.4 (0.3)</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27.3 (2.6)</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1.6 (1.8)</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6862.9 (1179.1)</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287.0 (132.7)</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27.6 (14.6)</w:t>
            </w:r>
          </w:p>
        </w:tc>
        <w:tc>
          <w:tcPr>
            <w:tcW w:w="71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979.9 (457.1)</w:t>
            </w:r>
          </w:p>
        </w:tc>
      </w:tr>
      <w:tr>
        <w:trPr/>
        <w:tc>
          <w:tcPr>
            <w:tcW w:w="1223"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EPAD [2]</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1776</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65.6 (7.4)</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55.8</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14.4 (3.7)</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39.5</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0.1 (0.2)</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28.4 (1.9)</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0.4 (0.7)</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4733.5 (773.0)</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225.8 (99.5)</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19.8 (10.6)</w:t>
            </w:r>
          </w:p>
        </w:tc>
        <w:tc>
          <w:tcPr>
            <w:tcW w:w="71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1216.5 (429.3)</w:t>
            </w:r>
          </w:p>
        </w:tc>
      </w:tr>
      <w:tr>
        <w:trPr/>
        <w:tc>
          <w:tcPr>
            <w:tcW w:w="1223"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AIBL [3]</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57</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73.8 (6.4)</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45.6</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12.7 (2.8)</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34.5</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0.3 (0.4)</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26.4 (4.9)</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1.6 (2.7)</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2.8 (0.4)</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438.8 (276.1)</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68.5 (30.5)</w:t>
            </w:r>
          </w:p>
        </w:tc>
        <w:tc>
          <w:tcPr>
            <w:tcW w:w="71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633.0 (241.8)</w:t>
            </w:r>
          </w:p>
        </w:tc>
      </w:tr>
      <w:tr>
        <w:trPr/>
        <w:tc>
          <w:tcPr>
            <w:tcW w:w="1223"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ARWIBO [4]</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234</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70.6 (7.9)</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54.3</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7.6 (4.0)</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38.5</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0.7 (0.5)</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23.2 (5.0)</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6167.5 (1221.3)</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465.4 (307.3)</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75.1 (50.1)</w:t>
            </w:r>
          </w:p>
        </w:tc>
        <w:tc>
          <w:tcPr>
            <w:tcW w:w="71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506.2 (238.0)</w:t>
            </w:r>
          </w:p>
        </w:tc>
      </w:tr>
      <w:tr>
        <w:trPr/>
        <w:tc>
          <w:tcPr>
            <w:tcW w:w="1223"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EDSD [5]</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86</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70.0 (6.9)</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44.2</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11.8 (3.0)</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54.7</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26.6 (2.1)</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6995.7 (1178.0)</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456.8 (276.8)</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82.0 (40.6)</w:t>
            </w:r>
          </w:p>
        </w:tc>
        <w:tc>
          <w:tcPr>
            <w:tcW w:w="71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665.1 (345.9)</w:t>
            </w:r>
          </w:p>
        </w:tc>
      </w:tr>
      <w:tr>
        <w:trPr/>
        <w:tc>
          <w:tcPr>
            <w:tcW w:w="1223"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PREVENT-AD [6]</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133</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62.8 (5.3)</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67.7</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15.2 (3.0)</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284.8 (156.6)</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49.0 (20.3)</w:t>
            </w:r>
          </w:p>
        </w:tc>
        <w:tc>
          <w:tcPr>
            <w:tcW w:w="71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1184.9 (298.3)</w:t>
            </w:r>
          </w:p>
        </w:tc>
      </w:tr>
      <w:tr>
        <w:trPr/>
        <w:tc>
          <w:tcPr>
            <w:tcW w:w="1223"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PharmaCog [7]</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145</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69.2 (7.3)</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57.2</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10.6 (4.4)</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46.2</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0.5 (0.0)</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26.6 (1.8)</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6729.3 (1420.6)</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475.5 (345.2)</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67.6 (34.7)</w:t>
            </w:r>
          </w:p>
        </w:tc>
        <w:tc>
          <w:tcPr>
            <w:tcW w:w="71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693.0 (292.5)</w:t>
            </w:r>
          </w:p>
        </w:tc>
      </w:tr>
      <w:tr>
        <w:trPr/>
        <w:tc>
          <w:tcPr>
            <w:tcW w:w="1223"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NACC [8]</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506</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67.4 (10.0)</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50.2</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15.7 (3.1)</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46.6</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0.4 (0.5)</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26.1 (4.8)</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2.0 (2.6)</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6.4 (0.9)</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235.0 (288.2)</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48.4 (34.9)</w:t>
            </w:r>
          </w:p>
        </w:tc>
        <w:tc>
          <w:tcPr>
            <w:tcW w:w="71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389.9 (254.2)</w:t>
            </w:r>
          </w:p>
        </w:tc>
      </w:tr>
      <w:tr>
        <w:trPr/>
        <w:tc>
          <w:tcPr>
            <w:tcW w:w="1223"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EMIF [9]</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1014</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67.9 (8.6)</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44.8</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11.2 (4.1)</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0.4 (0.3)</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26.1 (3.8)</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6956.4 (1212.5)</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377.5 (327.6)</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60.0 (33.6)</w:t>
            </w:r>
          </w:p>
        </w:tc>
        <w:tc>
          <w:tcPr>
            <w:tcW w:w="71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586.4 (282.6)</w:t>
            </w:r>
          </w:p>
        </w:tc>
      </w:tr>
      <w:tr>
        <w:trPr/>
        <w:tc>
          <w:tcPr>
            <w:tcW w:w="1223"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DOD-ADNI [10]</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113</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68.5 (4.2)</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0.9</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15.2 (2.3)</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25.7</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0.1 (0.2)</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28.4 (1.5)</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0.4 (0.7)</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7741.6 (970.7)</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219.6 (80.8)</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19.1 (8.3)</w:t>
            </w:r>
          </w:p>
        </w:tc>
        <w:tc>
          <w:tcPr>
            <w:tcW w:w="71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1242.6 (490.9)</w:t>
            </w:r>
          </w:p>
        </w:tc>
      </w:tr>
      <w:tr>
        <w:trPr/>
        <w:tc>
          <w:tcPr>
            <w:tcW w:w="1223"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JADNI [11]</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197</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71.3 (6.8)</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50.8</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13.4 (2.8)</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47.7</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0.4 (0.3)</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26.3 (3.0)</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1.8 (1.7)</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6221.8 (1229.4)</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114.1 (61.2)</w:t>
            </w:r>
          </w:p>
        </w:tc>
        <w:tc>
          <w:tcPr>
            <w:tcW w:w="7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56.0 (24.3)</w:t>
            </w:r>
          </w:p>
        </w:tc>
        <w:tc>
          <w:tcPr>
            <w:tcW w:w="71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354.1 (146.5)</w:t>
            </w:r>
          </w:p>
        </w:tc>
      </w:tr>
    </w:tbl>
    <w:p>
      <w:pPr>
        <w:pStyle w:val="Normal"/>
        <w:jc w:val="both"/>
        <w:rPr/>
      </w:pPr>
      <w:r>
        <w:rPr>
          <w:b/>
        </w:rPr>
        <w:t>Table S1:</w:t>
      </w:r>
      <w:r>
        <w:rPr/>
        <w:t xml:space="preserve"> Summary statistics of participants in each cohort study. Numerical measurements are reported as the mean and standard deviation in parentheses. Categorical variables are presented based on the proportion of participants within a category. Note: APOE4 %, the proportion of participants with at least one APOE e4 status.</w:t>
      </w:r>
    </w:p>
    <w:p>
      <w:pPr>
        <w:pStyle w:val="Normal"/>
        <w:widowControl w:val="false"/>
        <w:spacing w:lineRule="auto" w:line="240"/>
        <w:jc w:val="both"/>
        <w:rPr>
          <w:highlight w:val="white"/>
        </w:rPr>
      </w:pPr>
      <w:r>
        <w:rPr>
          <w:highlight w:val="white"/>
        </w:rPr>
      </w:r>
    </w:p>
    <w:p>
      <w:pPr>
        <w:pStyle w:val="Normal"/>
        <w:widowControl w:val="false"/>
        <w:ind w:left="720" w:hanging="0"/>
        <w:jc w:val="both"/>
        <w:rPr>
          <w:sz w:val="24"/>
          <w:szCs w:val="24"/>
          <w:highlight w:val="white"/>
        </w:rPr>
      </w:pPr>
      <w:r>
        <w:rPr>
          <w:sz w:val="24"/>
          <w:szCs w:val="24"/>
          <w:highlight w:val="white"/>
        </w:rPr>
      </w:r>
    </w:p>
    <w:tbl>
      <w:tblPr>
        <w:tblStyle w:val="a0"/>
        <w:tblW w:w="8625"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1198"/>
        <w:gridCol w:w="1667"/>
        <w:gridCol w:w="5760"/>
      </w:tblGrid>
      <w:tr>
        <w:trPr/>
        <w:tc>
          <w:tcPr>
            <w:tcW w:w="1198"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Cohort</w:t>
            </w:r>
          </w:p>
        </w:tc>
        <w:tc>
          <w:tcPr>
            <w:tcW w:w="166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 Participants</w:t>
            </w:r>
          </w:p>
        </w:tc>
        <w:tc>
          <w:tcPr>
            <w:tcW w:w="576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Assay</w:t>
            </w:r>
          </w:p>
        </w:tc>
      </w:tr>
      <w:tr>
        <w:trPr>
          <w:trHeight w:val="400" w:hRule="atLeast"/>
        </w:trPr>
        <w:tc>
          <w:tcPr>
            <w:tcW w:w="1198" w:type="dxa"/>
            <w:vMerge w:val="restart"/>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jc w:val="center"/>
              <w:rPr>
                <w:b/>
                <w:b/>
                <w:sz w:val="16"/>
                <w:szCs w:val="16"/>
              </w:rPr>
            </w:pPr>
            <w:r>
              <w:rPr>
                <w:b/>
                <w:sz w:val="16"/>
                <w:szCs w:val="16"/>
              </w:rPr>
              <w:t>NACC</w:t>
            </w:r>
          </w:p>
        </w:tc>
        <w:tc>
          <w:tcPr>
            <w:tcW w:w="166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205</w:t>
            </w:r>
          </w:p>
        </w:tc>
        <w:tc>
          <w:tcPr>
            <w:tcW w:w="57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6"/>
                <w:szCs w:val="16"/>
              </w:rPr>
            </w:pPr>
            <w:r>
              <w:rPr>
                <w:sz w:val="16"/>
                <w:szCs w:val="16"/>
              </w:rPr>
              <w:t>INNOTEST® kit assay (Innogenetics, Ghent, Belgium), Enzyme-linked immunosorbent assay (ELISA)</w:t>
            </w:r>
          </w:p>
        </w:tc>
      </w:tr>
      <w:tr>
        <w:trPr>
          <w:trHeight w:val="400" w:hRule="atLeast"/>
        </w:trPr>
        <w:tc>
          <w:tcPr>
            <w:tcW w:w="1198" w:type="dxa"/>
            <w:vMerge w:val="continue"/>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jc w:val="center"/>
              <w:rPr>
                <w:b/>
                <w:b/>
                <w:sz w:val="20"/>
                <w:szCs w:val="20"/>
              </w:rPr>
            </w:pPr>
            <w:r>
              <w:rPr>
                <w:b/>
                <w:sz w:val="20"/>
                <w:szCs w:val="20"/>
              </w:rPr>
            </w:r>
          </w:p>
        </w:tc>
        <w:tc>
          <w:tcPr>
            <w:tcW w:w="166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301</w:t>
            </w:r>
          </w:p>
        </w:tc>
        <w:tc>
          <w:tcPr>
            <w:tcW w:w="57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6"/>
                <w:szCs w:val="16"/>
              </w:rPr>
            </w:pPr>
            <w:r>
              <w:rPr>
                <w:sz w:val="16"/>
                <w:szCs w:val="16"/>
              </w:rPr>
              <w:t>Multiplex xMAP Luminex platform (LuminexCorp., Austin, TX, USA) with Innogenetics (INNO-BIA AlzBio3, Ghent, Belgium) immunoassay</w:t>
            </w:r>
          </w:p>
        </w:tc>
      </w:tr>
      <w:tr>
        <w:trPr>
          <w:trHeight w:val="400" w:hRule="atLeast"/>
        </w:trPr>
        <w:tc>
          <w:tcPr>
            <w:tcW w:w="1198" w:type="dxa"/>
            <w:vMerge w:val="restart"/>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jc w:val="center"/>
              <w:rPr>
                <w:b/>
                <w:b/>
                <w:sz w:val="16"/>
                <w:szCs w:val="16"/>
              </w:rPr>
            </w:pPr>
            <w:r>
              <w:rPr>
                <w:b/>
                <w:sz w:val="16"/>
                <w:szCs w:val="16"/>
              </w:rPr>
              <w:t>EMIF</w:t>
            </w:r>
          </w:p>
        </w:tc>
        <w:tc>
          <w:tcPr>
            <w:tcW w:w="166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811</w:t>
            </w:r>
          </w:p>
        </w:tc>
        <w:tc>
          <w:tcPr>
            <w:tcW w:w="57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6"/>
                <w:szCs w:val="16"/>
              </w:rPr>
            </w:pPr>
            <w:r>
              <w:rPr>
                <w:sz w:val="16"/>
                <w:szCs w:val="16"/>
              </w:rPr>
              <w:t>INNOTEST® kit assay (Innogenetics, Ghent, Belgium), Enzyme-linked immunosorbent assay (ELISA)</w:t>
            </w:r>
          </w:p>
        </w:tc>
      </w:tr>
      <w:tr>
        <w:trPr>
          <w:trHeight w:val="400" w:hRule="atLeast"/>
        </w:trPr>
        <w:tc>
          <w:tcPr>
            <w:tcW w:w="1198" w:type="dxa"/>
            <w:vMerge w:val="continue"/>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jc w:val="center"/>
              <w:rPr>
                <w:b/>
                <w:b/>
                <w:sz w:val="20"/>
                <w:szCs w:val="20"/>
              </w:rPr>
            </w:pPr>
            <w:r>
              <w:rPr>
                <w:b/>
                <w:sz w:val="20"/>
                <w:szCs w:val="20"/>
              </w:rPr>
            </w:r>
          </w:p>
        </w:tc>
        <w:tc>
          <w:tcPr>
            <w:tcW w:w="166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203</w:t>
            </w:r>
          </w:p>
        </w:tc>
        <w:tc>
          <w:tcPr>
            <w:tcW w:w="57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6"/>
                <w:szCs w:val="16"/>
              </w:rPr>
            </w:pPr>
            <w:r>
              <w:rPr>
                <w:sz w:val="16"/>
                <w:szCs w:val="16"/>
              </w:rPr>
              <w:t>Multiplex xMAP Luminex platform (LuminexCorp., Austin, TX, USA) with Innogenetics (INNO-BIA AlzBio3, Ghent, Belgium) immunoassay</w:t>
            </w:r>
          </w:p>
        </w:tc>
      </w:tr>
    </w:tbl>
    <w:p>
      <w:pPr>
        <w:pStyle w:val="Normal"/>
        <w:widowControl w:val="false"/>
        <w:spacing w:lineRule="auto" w:line="240" w:before="0" w:after="200"/>
        <w:jc w:val="both"/>
        <w:rPr>
          <w:highlight w:val="white"/>
        </w:rPr>
      </w:pPr>
      <w:r>
        <w:rPr>
          <w:b/>
          <w:highlight w:val="white"/>
        </w:rPr>
        <w:t xml:space="preserve">Table S2: </w:t>
      </w:r>
      <w:r>
        <w:rPr>
          <w:highlight w:val="white"/>
        </w:rPr>
        <w:t>Number of participants in certain cohorts with CSF measurements using each assay.</w:t>
      </w:r>
    </w:p>
    <w:p>
      <w:pPr>
        <w:pStyle w:val="Normal"/>
        <w:widowControl w:val="false"/>
        <w:spacing w:lineRule="auto" w:line="240"/>
        <w:jc w:val="both"/>
        <w:rPr>
          <w:highlight w:val="white"/>
        </w:rPr>
      </w:pPr>
      <w:r>
        <w:rPr>
          <w:highlight w:val="white"/>
        </w:rPr>
      </w:r>
    </w:p>
    <w:tbl>
      <w:tblPr>
        <w:tblStyle w:val="a1"/>
        <w:tblW w:w="9360"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1872"/>
        <w:gridCol w:w="1872"/>
        <w:gridCol w:w="1872"/>
        <w:gridCol w:w="1872"/>
        <w:gridCol w:w="1872"/>
      </w:tblGrid>
      <w:tr>
        <w:trPr/>
        <w:tc>
          <w:tcPr>
            <w:tcW w:w="1872"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Cohort</w:t>
            </w:r>
          </w:p>
        </w:tc>
        <w:tc>
          <w:tcPr>
            <w:tcW w:w="1872"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Aβ1-42</w:t>
            </w:r>
          </w:p>
        </w:tc>
        <w:tc>
          <w:tcPr>
            <w:tcW w:w="1872"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pTau</w:t>
            </w:r>
          </w:p>
        </w:tc>
        <w:tc>
          <w:tcPr>
            <w:tcW w:w="1872"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tTau</w:t>
            </w:r>
          </w:p>
        </w:tc>
        <w:tc>
          <w:tcPr>
            <w:tcW w:w="1872"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 Patients</w:t>
            </w:r>
          </w:p>
        </w:tc>
      </w:tr>
      <w:tr>
        <w:trPr/>
        <w:tc>
          <w:tcPr>
            <w:tcW w:w="1872"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rFonts w:ascii="Roboto" w:hAnsi="Roboto" w:eastAsia="Roboto" w:cs="Roboto"/>
                <w:b/>
                <w:b/>
                <w:sz w:val="16"/>
                <w:szCs w:val="16"/>
              </w:rPr>
            </w:pPr>
            <w:r>
              <w:rPr>
                <w:rFonts w:eastAsia="Roboto" w:cs="Roboto" w:ascii="Roboto" w:hAnsi="Roboto"/>
                <w:b/>
                <w:sz w:val="16"/>
                <w:szCs w:val="16"/>
              </w:rPr>
              <w:t>ADNI</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Roboto" w:hAnsi="Roboto" w:eastAsia="Roboto" w:cs="Roboto"/>
                <w:sz w:val="16"/>
                <w:szCs w:val="16"/>
                <w:highlight w:val="white"/>
              </w:rPr>
            </w:pPr>
            <w:r>
              <w:rPr>
                <w:rFonts w:eastAsia="Roboto" w:cs="Roboto" w:ascii="Roboto" w:hAnsi="Roboto"/>
                <w:sz w:val="16"/>
                <w:szCs w:val="16"/>
                <w:highlight w:val="white"/>
              </w:rPr>
              <w:t>&lt;200, &gt;1700</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Roboto" w:hAnsi="Roboto" w:eastAsia="Roboto" w:cs="Roboto"/>
                <w:sz w:val="16"/>
                <w:szCs w:val="16"/>
                <w:highlight w:val="white"/>
              </w:rPr>
            </w:pPr>
            <w:r>
              <w:rPr>
                <w:rFonts w:eastAsia="Roboto" w:cs="Roboto" w:ascii="Roboto" w:hAnsi="Roboto"/>
                <w:sz w:val="16"/>
                <w:szCs w:val="16"/>
                <w:highlight w:val="white"/>
              </w:rPr>
              <w:t>&lt;8, &gt;120</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Roboto" w:hAnsi="Roboto" w:eastAsia="Roboto" w:cs="Roboto"/>
                <w:sz w:val="16"/>
                <w:szCs w:val="16"/>
                <w:highlight w:val="white"/>
              </w:rPr>
            </w:pPr>
            <w:r>
              <w:rPr>
                <w:rFonts w:eastAsia="Roboto" w:cs="Roboto" w:ascii="Roboto" w:hAnsi="Roboto"/>
                <w:sz w:val="16"/>
                <w:szCs w:val="16"/>
                <w:highlight w:val="white"/>
              </w:rPr>
              <w:t>&lt;80, &gt;1300</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Roboto" w:hAnsi="Roboto" w:eastAsia="Roboto" w:cs="Roboto"/>
                <w:sz w:val="16"/>
                <w:szCs w:val="16"/>
                <w:highlight w:val="white"/>
              </w:rPr>
            </w:pPr>
            <w:r>
              <w:rPr>
                <w:rFonts w:eastAsia="Roboto" w:cs="Roboto" w:ascii="Roboto" w:hAnsi="Roboto"/>
                <w:sz w:val="16"/>
                <w:szCs w:val="16"/>
                <w:highlight w:val="white"/>
              </w:rPr>
              <w:t>204</w:t>
            </w:r>
          </w:p>
        </w:tc>
      </w:tr>
      <w:tr>
        <w:trPr/>
        <w:tc>
          <w:tcPr>
            <w:tcW w:w="1872"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rFonts w:ascii="Roboto" w:hAnsi="Roboto" w:eastAsia="Roboto" w:cs="Roboto"/>
                <w:b/>
                <w:b/>
                <w:sz w:val="16"/>
                <w:szCs w:val="16"/>
              </w:rPr>
            </w:pPr>
            <w:r>
              <w:rPr>
                <w:rFonts w:eastAsia="Roboto" w:cs="Roboto" w:ascii="Roboto" w:hAnsi="Roboto"/>
                <w:b/>
                <w:sz w:val="16"/>
                <w:szCs w:val="16"/>
              </w:rPr>
              <w:t>ARWIBO</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Roboto" w:hAnsi="Roboto" w:eastAsia="Roboto" w:cs="Roboto"/>
                <w:sz w:val="16"/>
                <w:szCs w:val="16"/>
                <w:highlight w:val="white"/>
              </w:rPr>
            </w:pPr>
            <w:r>
              <w:rPr>
                <w:rFonts w:eastAsia="Roboto" w:cs="Roboto" w:ascii="Roboto" w:hAnsi="Roboto"/>
                <w:sz w:val="16"/>
                <w:szCs w:val="16"/>
                <w:highlight w:val="white"/>
              </w:rPr>
              <w:t>-</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Roboto" w:hAnsi="Roboto" w:eastAsia="Roboto" w:cs="Roboto"/>
                <w:sz w:val="16"/>
                <w:szCs w:val="16"/>
                <w:highlight w:val="white"/>
              </w:rPr>
            </w:pPr>
            <w:r>
              <w:rPr>
                <w:rFonts w:eastAsia="Roboto" w:cs="Roboto" w:ascii="Roboto" w:hAnsi="Roboto"/>
                <w:sz w:val="16"/>
                <w:szCs w:val="16"/>
                <w:highlight w:val="white"/>
              </w:rPr>
              <w:t>&lt;15.6</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Roboto" w:hAnsi="Roboto" w:eastAsia="Roboto" w:cs="Roboto"/>
                <w:sz w:val="16"/>
                <w:szCs w:val="16"/>
                <w:highlight w:val="white"/>
              </w:rPr>
            </w:pPr>
            <w:r>
              <w:rPr>
                <w:rFonts w:eastAsia="Roboto" w:cs="Roboto" w:ascii="Roboto" w:hAnsi="Roboto"/>
                <w:sz w:val="16"/>
                <w:szCs w:val="16"/>
                <w:highlight w:val="white"/>
              </w:rPr>
              <w:t>&lt;75, &gt;1200, &gt;1209.5</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Roboto" w:hAnsi="Roboto" w:eastAsia="Roboto" w:cs="Roboto"/>
                <w:sz w:val="16"/>
                <w:szCs w:val="16"/>
                <w:highlight w:val="white"/>
              </w:rPr>
            </w:pPr>
            <w:r>
              <w:rPr>
                <w:rFonts w:eastAsia="Roboto" w:cs="Roboto" w:ascii="Roboto" w:hAnsi="Roboto"/>
                <w:sz w:val="16"/>
                <w:szCs w:val="16"/>
                <w:highlight w:val="white"/>
              </w:rPr>
              <w:t>18</w:t>
            </w:r>
          </w:p>
        </w:tc>
      </w:tr>
      <w:tr>
        <w:trPr/>
        <w:tc>
          <w:tcPr>
            <w:tcW w:w="1872"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rFonts w:ascii="Roboto" w:hAnsi="Roboto" w:eastAsia="Roboto" w:cs="Roboto"/>
                <w:b/>
                <w:b/>
                <w:sz w:val="16"/>
                <w:szCs w:val="16"/>
              </w:rPr>
            </w:pPr>
            <w:r>
              <w:rPr>
                <w:rFonts w:eastAsia="Roboto" w:cs="Roboto" w:ascii="Roboto" w:hAnsi="Roboto"/>
                <w:b/>
                <w:sz w:val="16"/>
                <w:szCs w:val="16"/>
              </w:rPr>
              <w:t>EPAD</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Roboto" w:hAnsi="Roboto" w:eastAsia="Roboto" w:cs="Roboto"/>
                <w:sz w:val="16"/>
                <w:szCs w:val="16"/>
                <w:highlight w:val="white"/>
              </w:rPr>
            </w:pPr>
            <w:r>
              <w:rPr>
                <w:rFonts w:eastAsia="Roboto" w:cs="Roboto" w:ascii="Roboto" w:hAnsi="Roboto"/>
                <w:sz w:val="16"/>
                <w:szCs w:val="16"/>
                <w:highlight w:val="white"/>
              </w:rPr>
              <w:t>&lt;200, &gt;1700</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Roboto" w:hAnsi="Roboto" w:eastAsia="Roboto" w:cs="Roboto"/>
                <w:sz w:val="16"/>
                <w:szCs w:val="16"/>
                <w:highlight w:val="white"/>
              </w:rPr>
            </w:pPr>
            <w:r>
              <w:rPr>
                <w:rFonts w:eastAsia="Roboto" w:cs="Roboto" w:ascii="Roboto" w:hAnsi="Roboto"/>
                <w:sz w:val="16"/>
                <w:szCs w:val="16"/>
                <w:highlight w:val="white"/>
              </w:rPr>
              <w:t>&lt;8</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Roboto" w:hAnsi="Roboto" w:eastAsia="Roboto" w:cs="Roboto"/>
                <w:sz w:val="16"/>
                <w:szCs w:val="16"/>
                <w:highlight w:val="white"/>
              </w:rPr>
            </w:pPr>
            <w:r>
              <w:rPr>
                <w:rFonts w:eastAsia="Roboto" w:cs="Roboto" w:ascii="Roboto" w:hAnsi="Roboto"/>
                <w:sz w:val="16"/>
                <w:szCs w:val="16"/>
                <w:highlight w:val="white"/>
              </w:rPr>
              <w:t>&lt;80</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Roboto" w:hAnsi="Roboto" w:eastAsia="Roboto" w:cs="Roboto"/>
                <w:sz w:val="16"/>
                <w:szCs w:val="16"/>
                <w:highlight w:val="white"/>
              </w:rPr>
            </w:pPr>
            <w:r>
              <w:rPr>
                <w:rFonts w:eastAsia="Roboto" w:cs="Roboto" w:ascii="Roboto" w:hAnsi="Roboto"/>
                <w:sz w:val="16"/>
                <w:szCs w:val="16"/>
                <w:highlight w:val="white"/>
              </w:rPr>
              <w:t>531</w:t>
            </w:r>
          </w:p>
        </w:tc>
      </w:tr>
    </w:tbl>
    <w:p>
      <w:pPr>
        <w:pStyle w:val="Normal"/>
        <w:widowControl w:val="false"/>
        <w:spacing w:lineRule="auto" w:line="240"/>
        <w:jc w:val="both"/>
        <w:rPr>
          <w:highlight w:val="white"/>
        </w:rPr>
      </w:pPr>
      <w:r>
        <w:rPr>
          <w:b/>
          <w:highlight w:val="white"/>
        </w:rPr>
        <w:t>Table S3:</w:t>
      </w:r>
      <w:r>
        <w:rPr>
          <w:highlight w:val="white"/>
        </w:rPr>
        <w:t xml:space="preserve"> Technical limits for the CSF assays employed in ADNI, ARWIBO, and EPAD. # Patients, the number of patients with at least one biomarker below or above the technical limit, for which the respective technical limit was taken as a measurement estimate.</w:t>
      </w:r>
    </w:p>
    <w:p>
      <w:pPr>
        <w:pStyle w:val="Normal"/>
        <w:widowControl w:val="false"/>
        <w:spacing w:lineRule="auto" w:line="240"/>
        <w:jc w:val="both"/>
        <w:rPr>
          <w:highlight w:val="white"/>
        </w:rPr>
      </w:pPr>
      <w:r>
        <w:rPr>
          <w:highlight w:val="white"/>
        </w:rPr>
      </w:r>
    </w:p>
    <w:p>
      <w:pPr>
        <w:pStyle w:val="Normal"/>
        <w:widowControl w:val="false"/>
        <w:spacing w:lineRule="auto" w:line="240"/>
        <w:jc w:val="both"/>
        <w:rPr>
          <w:highlight w:val="white"/>
        </w:rPr>
      </w:pPr>
      <w:r>
        <w:rPr>
          <w:highlight w:val="white"/>
        </w:rPr>
      </w:r>
    </w:p>
    <w:p>
      <w:pPr>
        <w:pStyle w:val="Normal"/>
        <w:widowControl w:val="false"/>
        <w:spacing w:lineRule="auto" w:line="240"/>
        <w:jc w:val="center"/>
        <w:rPr>
          <w:highlight w:val="white"/>
        </w:rPr>
      </w:pPr>
      <w:r>
        <w:rPr/>
        <w:drawing>
          <wp:inline distT="0" distB="0" distL="0" distR="0">
            <wp:extent cx="5943600" cy="35560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4"/>
                    <a:stretch>
                      <a:fillRect/>
                    </a:stretch>
                  </pic:blipFill>
                  <pic:spPr bwMode="auto">
                    <a:xfrm>
                      <a:off x="0" y="0"/>
                      <a:ext cx="5943600" cy="3556000"/>
                    </a:xfrm>
                    <a:prstGeom prst="rect">
                      <a:avLst/>
                    </a:prstGeom>
                  </pic:spPr>
                </pic:pic>
              </a:graphicData>
            </a:graphic>
          </wp:inline>
        </w:drawing>
      </w:r>
    </w:p>
    <w:p>
      <w:pPr>
        <w:pStyle w:val="Normal"/>
        <w:widowControl w:val="false"/>
        <w:spacing w:lineRule="auto" w:line="240"/>
        <w:ind w:left="-90" w:hanging="0"/>
        <w:rPr>
          <w:highlight w:val="white"/>
        </w:rPr>
      </w:pPr>
      <w:r>
        <w:rPr>
          <w:b/>
          <w:highlight w:val="white"/>
        </w:rPr>
        <w:t xml:space="preserve">Figure S1: </w:t>
      </w:r>
      <w:r>
        <w:rPr>
          <w:highlight w:val="white"/>
        </w:rPr>
        <w:t>The distribution of CSF biomarkers in cohort studies. Note: the cohorts with the same assay method are grouped together in order to compare their distribution.</w:t>
      </w:r>
    </w:p>
    <w:p>
      <w:pPr>
        <w:pStyle w:val="Normal"/>
        <w:widowControl w:val="false"/>
        <w:spacing w:lineRule="auto" w:line="240"/>
        <w:jc w:val="both"/>
        <w:rPr>
          <w:highlight w:val="white"/>
        </w:rPr>
      </w:pPr>
      <w:r>
        <w:rPr>
          <w:highlight w:val="white"/>
        </w:rPr>
      </w:r>
    </w:p>
    <w:p>
      <w:pPr>
        <w:pStyle w:val="Normal"/>
        <w:widowControl w:val="false"/>
        <w:jc w:val="both"/>
        <w:rPr>
          <w:sz w:val="24"/>
          <w:szCs w:val="24"/>
          <w:highlight w:val="white"/>
        </w:rPr>
      </w:pPr>
      <w:r>
        <w:rPr>
          <w:sz w:val="24"/>
          <w:szCs w:val="24"/>
          <w:highlight w:val="white"/>
        </w:rPr>
      </w:r>
    </w:p>
    <w:tbl>
      <w:tblPr>
        <w:tblStyle w:val="a2"/>
        <w:tblW w:w="9465"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5865"/>
        <w:gridCol w:w="2503"/>
        <w:gridCol w:w="1097"/>
      </w:tblGrid>
      <w:tr>
        <w:trPr>
          <w:trHeight w:val="440" w:hRule="atLeast"/>
        </w:trPr>
        <w:tc>
          <w:tcPr>
            <w:tcW w:w="586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Method</w:t>
            </w:r>
          </w:p>
        </w:tc>
        <w:tc>
          <w:tcPr>
            <w:tcW w:w="2503"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Number of Publication</w:t>
            </w:r>
          </w:p>
        </w:tc>
        <w:tc>
          <w:tcPr>
            <w:tcW w:w="109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Citation</w:t>
            </w:r>
          </w:p>
        </w:tc>
      </w:tr>
      <w:tr>
        <w:trPr>
          <w:trHeight w:val="440" w:hRule="atLeast"/>
        </w:trPr>
        <w:tc>
          <w:tcPr>
            <w:tcW w:w="586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ROC using Youden’s index</w:t>
            </w:r>
          </w:p>
        </w:tc>
        <w:tc>
          <w:tcPr>
            <w:tcW w:w="25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15</w:t>
            </w:r>
          </w:p>
        </w:tc>
        <w:tc>
          <w:tcPr>
            <w:tcW w:w="10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color w:val="222222"/>
                <w:sz w:val="16"/>
                <w:szCs w:val="16"/>
              </w:rPr>
            </w:pPr>
            <w:r>
              <w:rPr>
                <w:color w:val="222222"/>
                <w:sz w:val="16"/>
                <w:szCs w:val="16"/>
              </w:rPr>
              <w:t>[12-26]</w:t>
            </w:r>
          </w:p>
        </w:tc>
      </w:tr>
      <w:tr>
        <w:trPr>
          <w:trHeight w:val="440" w:hRule="atLeast"/>
        </w:trPr>
        <w:tc>
          <w:tcPr>
            <w:tcW w:w="586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ROC</w:t>
            </w:r>
          </w:p>
        </w:tc>
        <w:tc>
          <w:tcPr>
            <w:tcW w:w="25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2</w:t>
            </w:r>
          </w:p>
        </w:tc>
        <w:tc>
          <w:tcPr>
            <w:tcW w:w="10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color w:val="222222"/>
                <w:sz w:val="16"/>
                <w:szCs w:val="16"/>
              </w:rPr>
              <w:t>[27, 28]</w:t>
            </w:r>
          </w:p>
        </w:tc>
      </w:tr>
      <w:tr>
        <w:trPr>
          <w:trHeight w:val="440" w:hRule="atLeast"/>
        </w:trPr>
        <w:tc>
          <w:tcPr>
            <w:tcW w:w="586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ROC using Youden’s index and mean ±2 SD</w:t>
            </w:r>
          </w:p>
        </w:tc>
        <w:tc>
          <w:tcPr>
            <w:tcW w:w="25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1</w:t>
            </w:r>
          </w:p>
        </w:tc>
        <w:tc>
          <w:tcPr>
            <w:tcW w:w="10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color w:val="222222"/>
                <w:sz w:val="16"/>
                <w:szCs w:val="16"/>
              </w:rPr>
            </w:pPr>
            <w:r>
              <w:rPr>
                <w:color w:val="222222"/>
                <w:sz w:val="16"/>
                <w:szCs w:val="16"/>
              </w:rPr>
              <w:t>[29]</w:t>
            </w:r>
          </w:p>
        </w:tc>
      </w:tr>
      <w:tr>
        <w:trPr>
          <w:trHeight w:val="440" w:hRule="atLeast"/>
        </w:trPr>
        <w:tc>
          <w:tcPr>
            <w:tcW w:w="5865" w:type="dxa"/>
            <w:tcBorders>
              <w:top w:val="single" w:sz="8" w:space="0" w:color="000000"/>
              <w:left w:val="single" w:sz="8" w:space="0" w:color="000000"/>
              <w:bottom w:val="single" w:sz="8" w:space="0" w:color="000000"/>
              <w:right w:val="single" w:sz="8" w:space="0" w:color="000000"/>
            </w:tcBorders>
            <w:shd w:color="auto" w:fill="B7B7B7" w:val="clear"/>
            <w:tcMar>
              <w:top w:w="0" w:type="dxa"/>
              <w:left w:w="108" w:type="dxa"/>
              <w:bottom w:w="0" w:type="dxa"/>
              <w:right w:w="108" w:type="dxa"/>
            </w:tcMar>
          </w:tcPr>
          <w:p>
            <w:pPr>
              <w:pStyle w:val="Normal"/>
              <w:widowControl w:val="false"/>
              <w:spacing w:lineRule="auto" w:line="240"/>
              <w:rPr>
                <w:b/>
                <w:b/>
                <w:sz w:val="16"/>
                <w:szCs w:val="16"/>
              </w:rPr>
            </w:pPr>
            <w:r>
              <w:rPr>
                <w:b/>
                <w:sz w:val="16"/>
                <w:szCs w:val="16"/>
              </w:rPr>
              <w:t>GMM, Youden’s index and mean ±2 SD</w:t>
            </w:r>
          </w:p>
        </w:tc>
        <w:tc>
          <w:tcPr>
            <w:tcW w:w="25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1</w:t>
            </w:r>
          </w:p>
        </w:tc>
        <w:tc>
          <w:tcPr>
            <w:tcW w:w="10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color w:val="222222"/>
                <w:sz w:val="16"/>
                <w:szCs w:val="16"/>
              </w:rPr>
              <w:t>[30]</w:t>
            </w:r>
          </w:p>
        </w:tc>
      </w:tr>
      <w:tr>
        <w:trPr>
          <w:trHeight w:val="440" w:hRule="atLeast"/>
        </w:trPr>
        <w:tc>
          <w:tcPr>
            <w:tcW w:w="586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Youden’s index</w:t>
            </w:r>
          </w:p>
        </w:tc>
        <w:tc>
          <w:tcPr>
            <w:tcW w:w="25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2</w:t>
            </w:r>
          </w:p>
        </w:tc>
        <w:tc>
          <w:tcPr>
            <w:tcW w:w="10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color w:val="222222"/>
                <w:sz w:val="16"/>
                <w:szCs w:val="16"/>
              </w:rPr>
            </w:pPr>
            <w:r>
              <w:rPr>
                <w:color w:val="222222"/>
                <w:sz w:val="16"/>
                <w:szCs w:val="16"/>
              </w:rPr>
              <w:t>[31-32]</w:t>
            </w:r>
          </w:p>
        </w:tc>
      </w:tr>
      <w:tr>
        <w:trPr>
          <w:trHeight w:val="440" w:hRule="atLeast"/>
        </w:trPr>
        <w:tc>
          <w:tcPr>
            <w:tcW w:w="586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GMM and mean ± SD</w:t>
            </w:r>
          </w:p>
        </w:tc>
        <w:tc>
          <w:tcPr>
            <w:tcW w:w="25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1</w:t>
            </w:r>
          </w:p>
        </w:tc>
        <w:tc>
          <w:tcPr>
            <w:tcW w:w="10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[33]</w:t>
            </w:r>
          </w:p>
        </w:tc>
      </w:tr>
      <w:tr>
        <w:trPr>
          <w:trHeight w:val="440" w:hRule="atLeast"/>
        </w:trPr>
        <w:tc>
          <w:tcPr>
            <w:tcW w:w="586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GMM and ROC using Youden’s index</w:t>
            </w:r>
          </w:p>
        </w:tc>
        <w:tc>
          <w:tcPr>
            <w:tcW w:w="25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1</w:t>
            </w:r>
          </w:p>
        </w:tc>
        <w:tc>
          <w:tcPr>
            <w:tcW w:w="10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[34]</w:t>
            </w:r>
          </w:p>
        </w:tc>
      </w:tr>
      <w:tr>
        <w:trPr>
          <w:trHeight w:val="440" w:hRule="atLeast"/>
        </w:trPr>
        <w:tc>
          <w:tcPr>
            <w:tcW w:w="586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GMM and ROC</w:t>
            </w:r>
          </w:p>
        </w:tc>
        <w:tc>
          <w:tcPr>
            <w:tcW w:w="25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1</w:t>
            </w:r>
          </w:p>
        </w:tc>
        <w:tc>
          <w:tcPr>
            <w:tcW w:w="10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[35]</w:t>
            </w:r>
          </w:p>
        </w:tc>
      </w:tr>
      <w:tr>
        <w:trPr>
          <w:trHeight w:val="440" w:hRule="atLeast"/>
        </w:trPr>
        <w:tc>
          <w:tcPr>
            <w:tcW w:w="586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Sparse K-means</w:t>
            </w:r>
          </w:p>
        </w:tc>
        <w:tc>
          <w:tcPr>
            <w:tcW w:w="25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color w:val="242424"/>
                <w:sz w:val="16"/>
                <w:szCs w:val="16"/>
              </w:rPr>
              <w:t>1</w:t>
            </w:r>
          </w:p>
        </w:tc>
        <w:tc>
          <w:tcPr>
            <w:tcW w:w="10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[36]</w:t>
            </w:r>
          </w:p>
        </w:tc>
      </w:tr>
      <w:tr>
        <w:trPr>
          <w:trHeight w:val="440" w:hRule="atLeast"/>
        </w:trPr>
        <w:tc>
          <w:tcPr>
            <w:tcW w:w="586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ROC using Youden’s index and regression analysis</w:t>
            </w:r>
          </w:p>
        </w:tc>
        <w:tc>
          <w:tcPr>
            <w:tcW w:w="25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1</w:t>
            </w:r>
          </w:p>
        </w:tc>
        <w:tc>
          <w:tcPr>
            <w:tcW w:w="10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[37]</w:t>
            </w:r>
          </w:p>
        </w:tc>
      </w:tr>
      <w:tr>
        <w:trPr>
          <w:trHeight w:val="440" w:hRule="atLeast"/>
        </w:trPr>
        <w:tc>
          <w:tcPr>
            <w:tcW w:w="586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Threshold from previous studies, GMM and ROC</w:t>
            </w:r>
          </w:p>
        </w:tc>
        <w:tc>
          <w:tcPr>
            <w:tcW w:w="25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highlight w:val="white"/>
              </w:rPr>
              <w:t>1</w:t>
            </w:r>
          </w:p>
        </w:tc>
        <w:tc>
          <w:tcPr>
            <w:tcW w:w="10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[38]</w:t>
            </w:r>
          </w:p>
        </w:tc>
      </w:tr>
      <w:tr>
        <w:trPr/>
        <w:tc>
          <w:tcPr>
            <w:tcW w:w="586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Tertile and quartiles</w:t>
            </w:r>
          </w:p>
        </w:tc>
        <w:tc>
          <w:tcPr>
            <w:tcW w:w="25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1</w:t>
            </w:r>
          </w:p>
        </w:tc>
        <w:tc>
          <w:tcPr>
            <w:tcW w:w="10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[39]</w:t>
            </w:r>
          </w:p>
        </w:tc>
      </w:tr>
      <w:tr>
        <w:trPr>
          <w:trHeight w:val="400" w:hRule="atLeast"/>
        </w:trPr>
        <w:tc>
          <w:tcPr>
            <w:tcW w:w="586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Threshold from previous studies</w:t>
            </w:r>
          </w:p>
        </w:tc>
        <w:tc>
          <w:tcPr>
            <w:tcW w:w="25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26</w:t>
            </w:r>
          </w:p>
        </w:tc>
        <w:tc>
          <w:tcPr>
            <w:tcW w:w="10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[40-65]</w:t>
            </w:r>
          </w:p>
        </w:tc>
      </w:tr>
      <w:tr>
        <w:trPr>
          <w:trHeight w:val="400" w:hRule="atLeast"/>
        </w:trPr>
        <w:tc>
          <w:tcPr>
            <w:tcW w:w="586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Threshold from previous studies,  mean ±2 SD and 90th percentile</w:t>
            </w:r>
          </w:p>
        </w:tc>
        <w:tc>
          <w:tcPr>
            <w:tcW w:w="25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1</w:t>
            </w:r>
          </w:p>
        </w:tc>
        <w:tc>
          <w:tcPr>
            <w:tcW w:w="10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[66]</w:t>
            </w:r>
          </w:p>
        </w:tc>
      </w:tr>
      <w:tr>
        <w:trPr>
          <w:trHeight w:val="400" w:hRule="atLeast"/>
        </w:trPr>
        <w:tc>
          <w:tcPr>
            <w:tcW w:w="586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Youden’s index and mean ±2 SD</w:t>
            </w:r>
          </w:p>
        </w:tc>
        <w:tc>
          <w:tcPr>
            <w:tcW w:w="25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1</w:t>
            </w:r>
          </w:p>
        </w:tc>
        <w:tc>
          <w:tcPr>
            <w:tcW w:w="10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sz w:val="16"/>
                <w:szCs w:val="16"/>
              </w:rPr>
            </w:pPr>
            <w:r>
              <w:rPr>
                <w:sz w:val="16"/>
                <w:szCs w:val="16"/>
              </w:rPr>
              <w:t>[67]</w:t>
            </w:r>
          </w:p>
        </w:tc>
      </w:tr>
    </w:tbl>
    <w:p>
      <w:pPr>
        <w:pStyle w:val="Normal"/>
        <w:widowControl w:val="false"/>
        <w:spacing w:lineRule="auto" w:line="240"/>
        <w:jc w:val="both"/>
        <w:rPr>
          <w:highlight w:val="white"/>
        </w:rPr>
      </w:pPr>
      <w:r>
        <w:rPr>
          <w:b/>
          <w:highlight w:val="white"/>
        </w:rPr>
        <w:t xml:space="preserve">Table S4: </w:t>
      </w:r>
      <w:r>
        <w:rPr>
          <w:highlight w:val="white"/>
        </w:rPr>
        <w:t>Commonly used methodologies extracted from literature for defining thresholds of ATN biomarkers.</w:t>
      </w:r>
    </w:p>
    <w:p>
      <w:pPr>
        <w:pStyle w:val="Normal"/>
        <w:widowControl w:val="false"/>
        <w:spacing w:lineRule="auto" w:line="240"/>
        <w:ind w:left="720" w:hanging="0"/>
        <w:jc w:val="both"/>
        <w:rPr>
          <w:highlight w:val="white"/>
        </w:rPr>
      </w:pPr>
      <w:r>
        <w:rPr>
          <w:highlight w:val="white"/>
        </w:rPr>
      </w:r>
    </w:p>
    <w:p>
      <w:pPr>
        <w:pStyle w:val="Normal"/>
        <w:rPr>
          <w:sz w:val="24"/>
          <w:szCs w:val="24"/>
        </w:rPr>
      </w:pPr>
      <w:r>
        <w:rPr>
          <w:sz w:val="24"/>
          <w:szCs w:val="24"/>
        </w:rPr>
      </w:r>
    </w:p>
    <w:tbl>
      <w:tblPr>
        <w:tblStyle w:val="a3"/>
        <w:tblW w:w="9360"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2340"/>
        <w:gridCol w:w="2340"/>
        <w:gridCol w:w="2340"/>
        <w:gridCol w:w="2339"/>
      </w:tblGrid>
      <w:tr>
        <w:trPr>
          <w:trHeight w:val="360" w:hRule="atLeast"/>
        </w:trPr>
        <w:tc>
          <w:tcPr>
            <w:tcW w:w="9359" w:type="dxa"/>
            <w:gridSpan w:val="4"/>
            <w:tcBorders>
              <w:top w:val="single" w:sz="8" w:space="0" w:color="808080"/>
              <w:left w:val="single" w:sz="8" w:space="0" w:color="808080"/>
              <w:bottom w:val="single" w:sz="8" w:space="0" w:color="000000"/>
              <w:right w:val="single" w:sz="8" w:space="0" w:color="808080"/>
            </w:tcBorders>
            <w:shd w:color="auto" w:fill="B7B7B7" w:val="clear"/>
          </w:tcPr>
          <w:p>
            <w:pPr>
              <w:pStyle w:val="Normal"/>
              <w:widowControl w:val="false"/>
              <w:spacing w:lineRule="auto" w:line="360" w:before="240" w:after="200"/>
              <w:jc w:val="center"/>
              <w:rPr>
                <w:b/>
                <w:b/>
                <w:sz w:val="16"/>
                <w:szCs w:val="16"/>
              </w:rPr>
            </w:pPr>
            <w:r>
              <w:rPr>
                <w:b/>
                <w:sz w:val="16"/>
                <w:szCs w:val="16"/>
              </w:rPr>
              <w:t>Common Features</w:t>
            </w:r>
          </w:p>
        </w:tc>
      </w:tr>
      <w:tr>
        <w:trPr>
          <w:trHeight w:val="455"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Cortical White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Pars Triangularis Gray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Caudal Anterior Cingulate Mean Cortical Thickness</w:t>
            </w:r>
          </w:p>
        </w:tc>
        <w:tc>
          <w:tcPr>
            <w:tcW w:w="2339"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Right Parsorbitalis Mean Cortical Thickness</w:t>
            </w:r>
          </w:p>
        </w:tc>
      </w:tr>
      <w:tr>
        <w:trPr>
          <w:trHeight w:val="450" w:hRule="atLeast"/>
        </w:trPr>
        <w:tc>
          <w:tcPr>
            <w:tcW w:w="2340" w:type="dxa"/>
            <w:tcBorders>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Left Caudal Anterior Cingulate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Pars Triangularis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Cuneus Mean Cortical Thickness</w:t>
            </w:r>
          </w:p>
        </w:tc>
        <w:tc>
          <w:tcPr>
            <w:tcW w:w="2339" w:type="dxa"/>
            <w:tcBorders>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Right Pericalcarine Gray Matter Volume</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Caudal Middle Frontal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Parsorbitalis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Entorightinal Mean Cortical Thickness</w:t>
            </w:r>
          </w:p>
        </w:tc>
        <w:tc>
          <w:tcPr>
            <w:tcW w:w="2339" w:type="dxa"/>
            <w:tcBorders>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Right Pericalcarine Mean Cortical Thickness</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Cuneus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Pericalcarine Gray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Fusiform Mean Cortical Thickness</w:t>
            </w:r>
          </w:p>
        </w:tc>
        <w:tc>
          <w:tcPr>
            <w:tcW w:w="2339" w:type="dxa"/>
            <w:tcBorders>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Right Postcentral Grey Matter Volume</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Fusiform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Pericalcarine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Hippocampus Volume</w:t>
            </w:r>
          </w:p>
        </w:tc>
        <w:tc>
          <w:tcPr>
            <w:tcW w:w="2339" w:type="dxa"/>
            <w:tcBorders>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Right Postcentral Mean Cortical Thickness</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Hippocampus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Postcentral Gray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Inferiorparietal Mean Cortical Thickness</w:t>
            </w:r>
          </w:p>
        </w:tc>
        <w:tc>
          <w:tcPr>
            <w:tcW w:w="2339" w:type="dxa"/>
            <w:tcBorders>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Right Posterior Cingulate Gray Matter Volume</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Inferiorparietal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Postcentral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Inferiortemporal Mean Cortical Thickness</w:t>
            </w:r>
          </w:p>
        </w:tc>
        <w:tc>
          <w:tcPr>
            <w:tcW w:w="2339" w:type="dxa"/>
            <w:tcBorders>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Right Posterior Cingulate Mean Cortical Thickness</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Inferiortemporal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Posterior Cingulate Gray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Insula Mean Cortical Thickness</w:t>
            </w:r>
          </w:p>
        </w:tc>
        <w:tc>
          <w:tcPr>
            <w:tcW w:w="2339" w:type="dxa"/>
            <w:tcBorders>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Right Precentral Gray Matter Volume</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Insula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Posterior Cingulate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Isthmus Cingulate Mean Cortical Thickness</w:t>
            </w:r>
          </w:p>
        </w:tc>
        <w:tc>
          <w:tcPr>
            <w:tcW w:w="2339" w:type="dxa"/>
            <w:tcBorders>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Right Precentral Mean Cortical Thickness</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Isthmus Cingulate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Precentral Gray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Lateral Occipital Gray Matter Volume</w:t>
            </w:r>
          </w:p>
        </w:tc>
        <w:tc>
          <w:tcPr>
            <w:tcW w:w="2339" w:type="dxa"/>
            <w:tcBorders>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Right Precuneus Grey Matter Volume</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Lateral Occipital Gray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Precentral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Lateral Ventricle Volume</w:t>
            </w:r>
          </w:p>
        </w:tc>
        <w:tc>
          <w:tcPr>
            <w:tcW w:w="2339" w:type="dxa"/>
            <w:tcBorders>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Right Precuneus Mean Cortical Thickness</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Lateral Ventricle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Precuneus Grey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Lateraloccipital Mean Cortical Thickness</w:t>
            </w:r>
          </w:p>
        </w:tc>
        <w:tc>
          <w:tcPr>
            <w:tcW w:w="2339" w:type="dxa"/>
            <w:tcBorders>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Right Rostral Anterior Cingulate Gray Matter Volume</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Lateraloccipital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Precuneus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Lateralorbitofrontal Mean Cortical Thickness</w:t>
            </w:r>
          </w:p>
        </w:tc>
        <w:tc>
          <w:tcPr>
            <w:tcW w:w="2339"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Rostral Anterior Cingulate Mean Cortical Thickness</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Lateralorbitofrontal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Rostral Anterior Cingulate Gray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Lingual Grey Matter Volume</w:t>
            </w:r>
          </w:p>
        </w:tc>
        <w:tc>
          <w:tcPr>
            <w:tcW w:w="2339"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Rostral Middle Frontal Gray Matter Volume</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Lingual Grey Gray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Rostral Anterior Cingulate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Lingual Mean Cortical Thickness</w:t>
            </w:r>
          </w:p>
        </w:tc>
        <w:tc>
          <w:tcPr>
            <w:tcW w:w="2339"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Rostral Middle Frontal Mean Cortical Thickness</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Lingual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Rostral Middle Frontal Gray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Medial Orbitofrontal Grey Matter Volume</w:t>
            </w:r>
          </w:p>
        </w:tc>
        <w:tc>
          <w:tcPr>
            <w:tcW w:w="2339"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Superior Frontal Gray Matter Volume</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Medial Orbitofrontal Gray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Rostral Middle Frontal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Medial Orbitofrontal Mean Cortical Thickness</w:t>
            </w:r>
          </w:p>
        </w:tc>
        <w:tc>
          <w:tcPr>
            <w:tcW w:w="2339"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Superior Parietal Gray Matter Volume</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Medial Orbitofrontal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Superior Frontal Gray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Middle Temporal Gray Matter Volume</w:t>
            </w:r>
          </w:p>
        </w:tc>
        <w:tc>
          <w:tcPr>
            <w:tcW w:w="2339"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Superior Temporal Gray Matter Volume</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Middle Temporal Gray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Superior Frontal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Middle Temporal Mean Cortical Thickness</w:t>
            </w:r>
          </w:p>
        </w:tc>
        <w:tc>
          <w:tcPr>
            <w:tcW w:w="2339"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Superior Temporal Mean Cortical Thickness</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Middle Temporal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Superior Parietal Gray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Paracentral Mean Cortical Thickness</w:t>
            </w:r>
          </w:p>
        </w:tc>
        <w:tc>
          <w:tcPr>
            <w:tcW w:w="2339"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Superiorfrontal Mean Cortical Thickness</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Paracentral Gray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Superior Temporal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Parahippocampal Mean Cortical Thickness</w:t>
            </w:r>
          </w:p>
        </w:tc>
        <w:tc>
          <w:tcPr>
            <w:tcW w:w="2339"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Superiorparietal Mean Cortical Thickness</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Paracentral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Superiorparietal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Pars Opercularis Gray Matter Volume</w:t>
            </w:r>
          </w:p>
        </w:tc>
        <w:tc>
          <w:tcPr>
            <w:tcW w:w="2339"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Right Supramarginal Gray Matter Volume</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Parahippocampal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Supramarginal Gray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Pars Opercularis Mean Cortical Thickness</w:t>
            </w:r>
          </w:p>
        </w:tc>
        <w:tc>
          <w:tcPr>
            <w:tcW w:w="2339" w:type="dxa"/>
            <w:tcBorders>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Right Supramarginal Mean Cortical Thickness</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Pars Opercularis Gray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Supramarginal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Pars Orbitalis Gray Matter Volume</w:t>
            </w:r>
          </w:p>
        </w:tc>
        <w:tc>
          <w:tcPr>
            <w:tcW w:w="2339" w:type="dxa"/>
            <w:tcBorders>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Right Transverse Temporal Grey Matter Volume</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Pars Opercularis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Transverse Temporal Grey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Pars Triangularis Gray Matter Volume</w:t>
            </w:r>
          </w:p>
        </w:tc>
        <w:tc>
          <w:tcPr>
            <w:tcW w:w="2339" w:type="dxa"/>
            <w:tcBorders>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Right Transverse Temporal Mean Cortical Thickness</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Pars Orbitalis Gray Matter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Left Transverse Temporal Mean Cortical Thickness</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Right Pars Triangularis Mean Cortical Thickness</w:t>
            </w:r>
          </w:p>
        </w:tc>
        <w:tc>
          <w:tcPr>
            <w:tcW w:w="2339" w:type="dxa"/>
            <w:tcBorders>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color w:val="auto"/>
                <w:kern w:val="0"/>
                <w:sz w:val="16"/>
                <w:szCs w:val="16"/>
                <w:lang w:val="en-US" w:eastAsia="fr-FR" w:bidi="ar-SA"/>
              </w:rPr>
            </w:pPr>
            <w:r>
              <w:rPr>
                <w:rFonts w:eastAsia="Arial" w:cs="Arial"/>
                <w:color w:val="auto"/>
                <w:kern w:val="0"/>
                <w:sz w:val="16"/>
                <w:szCs w:val="16"/>
                <w:lang w:val="en-US" w:eastAsia="fr-FR" w:bidi="ar-SA"/>
              </w:rPr>
              <w:t>APOE ε4 allele status</w:t>
            </w:r>
          </w:p>
        </w:tc>
      </w:tr>
      <w:tr>
        <w:trPr>
          <w:trHeight w:val="450" w:hRule="atLeast"/>
        </w:trPr>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sz w:val="16"/>
                <w:szCs w:val="16"/>
              </w:rPr>
            </w:pPr>
            <w:r>
              <w:rPr>
                <w:sz w:val="16"/>
                <w:szCs w:val="16"/>
              </w:rPr>
              <w:t>Third Ventricle Volume</w:t>
            </w:r>
          </w:p>
        </w:tc>
        <w:tc>
          <w:tcPr>
            <w:tcW w:w="2340"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color w:val="000000"/>
              </w:rPr>
            </w:pPr>
            <w:r>
              <w:rPr>
                <w:color w:val="000000"/>
                <w:sz w:val="16"/>
                <w:szCs w:val="16"/>
              </w:rPr>
              <w:t>Mini-Mental State Examination (MMSE)</w:t>
            </w:r>
          </w:p>
        </w:tc>
        <w:tc>
          <w:tcPr>
            <w:tcW w:w="2340" w:type="dxa"/>
            <w:tcBorders>
              <w:top w:val="single" w:sz="8" w:space="0" w:color="808080"/>
              <w:left w:val="single" w:sz="8" w:space="0" w:color="808080"/>
              <w:bottom w:val="single" w:sz="8" w:space="0" w:color="80808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kern w:val="0"/>
                <w:sz w:val="16"/>
                <w:szCs w:val="16"/>
                <w:lang w:val="en-US" w:eastAsia="fr-FR" w:bidi="ar-SA"/>
              </w:rPr>
            </w:pPr>
            <w:r>
              <w:rPr>
                <w:rFonts w:eastAsia="Arial" w:cs="Arial"/>
                <w:kern w:val="0"/>
                <w:sz w:val="16"/>
                <w:szCs w:val="16"/>
                <w:lang w:val="en-US" w:eastAsia="fr-FR" w:bidi="ar-SA"/>
              </w:rPr>
            </w:r>
          </w:p>
        </w:tc>
        <w:tc>
          <w:tcPr>
            <w:tcW w:w="2339" w:type="dxa"/>
            <w:tcBorders>
              <w:top w:val="single" w:sz="8" w:space="0" w:color="808080"/>
              <w:left w:val="single" w:sz="8" w:space="0" w:color="808080"/>
              <w:bottom w:val="single" w:sz="8" w:space="0" w:color="808080"/>
              <w:right w:val="single" w:sz="8" w:space="0" w:color="000000"/>
            </w:tcBorders>
            <w:tcMar>
              <w:top w:w="187" w:type="dxa"/>
              <w:left w:w="187" w:type="dxa"/>
              <w:bottom w:w="187" w:type="dxa"/>
              <w:right w:w="187" w:type="dxa"/>
            </w:tcMar>
            <w:vAlign w:val="center"/>
          </w:tcPr>
          <w:p>
            <w:pPr>
              <w:pStyle w:val="Normal"/>
              <w:widowControl w:val="false"/>
              <w:spacing w:lineRule="auto" w:line="240"/>
              <w:rPr>
                <w:rFonts w:ascii="Arial" w:hAnsi="Arial" w:eastAsia="Arial" w:cs="Arial"/>
                <w:kern w:val="0"/>
                <w:sz w:val="16"/>
                <w:szCs w:val="16"/>
                <w:lang w:val="en-US" w:eastAsia="fr-FR" w:bidi="ar-SA"/>
              </w:rPr>
            </w:pPr>
            <w:r>
              <w:rPr>
                <w:rFonts w:eastAsia="Arial" w:cs="Arial"/>
                <w:kern w:val="0"/>
                <w:sz w:val="16"/>
                <w:szCs w:val="16"/>
                <w:lang w:val="en-US" w:eastAsia="fr-FR" w:bidi="ar-SA"/>
              </w:rPr>
            </w:r>
          </w:p>
        </w:tc>
      </w:tr>
    </w:tbl>
    <w:p>
      <w:pPr>
        <w:sectPr>
          <w:footerReference w:type="default" r:id="rId5"/>
          <w:type w:val="nextPage"/>
          <w:pgSz w:w="12240" w:h="15840"/>
          <w:pgMar w:left="1440" w:right="1440" w:gutter="0" w:header="0" w:top="1440" w:footer="720" w:bottom="1440"/>
          <w:pgNumType w:start="1" w:fmt="decimal"/>
          <w:formProt w:val="false"/>
          <w:textDirection w:val="lrTb"/>
          <w:docGrid w:type="default" w:linePitch="100" w:charSpace="4096"/>
        </w:sectPr>
        <w:pStyle w:val="Normal"/>
        <w:widowControl w:val="false"/>
        <w:spacing w:lineRule="auto" w:line="240" w:before="0" w:after="200"/>
        <w:jc w:val="both"/>
        <w:rPr>
          <w:sz w:val="24"/>
          <w:szCs w:val="24"/>
        </w:rPr>
      </w:pPr>
      <w:r>
        <w:rPr>
          <w:b/>
        </w:rPr>
        <w:t xml:space="preserve">Table S5: </w:t>
      </w:r>
      <w:r>
        <w:rPr/>
        <w:t>The common attributes among the investigated cohorts that were used for clustering and UMAP analysis. Here, 104 MRI measurements, the APOE ε4 status of participants,</w:t>
      </w:r>
      <w:r>
        <w:rPr>
          <w:color w:val="FF0000"/>
        </w:rPr>
        <w:t xml:space="preserve"> </w:t>
      </w:r>
      <w:r>
        <w:rPr>
          <w:color w:val="000000"/>
        </w:rPr>
        <w:t>and MMSE were utilized.</w:t>
      </w:r>
    </w:p>
    <w:p>
      <w:pPr>
        <w:pStyle w:val="Normal"/>
        <w:spacing w:lineRule="auto" w:line="360"/>
        <w:rPr>
          <w:sz w:val="24"/>
          <w:szCs w:val="24"/>
        </w:rPr>
      </w:pPr>
      <w:r>
        <w:rPr>
          <w:sz w:val="24"/>
          <w:szCs w:val="24"/>
        </w:rPr>
      </w:r>
    </w:p>
    <w:tbl>
      <w:tblPr>
        <w:tblStyle w:val="a4"/>
        <w:tblW w:w="14280"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1455"/>
        <w:gridCol w:w="855"/>
        <w:gridCol w:w="854"/>
        <w:gridCol w:w="855"/>
        <w:gridCol w:w="857"/>
        <w:gridCol w:w="855"/>
        <w:gridCol w:w="854"/>
        <w:gridCol w:w="856"/>
        <w:gridCol w:w="855"/>
        <w:gridCol w:w="856"/>
        <w:gridCol w:w="855"/>
        <w:gridCol w:w="854"/>
        <w:gridCol w:w="857"/>
        <w:gridCol w:w="855"/>
        <w:gridCol w:w="854"/>
        <w:gridCol w:w="849"/>
      </w:tblGrid>
      <w:tr>
        <w:trPr>
          <w:trHeight w:val="420" w:hRule="atLeast"/>
        </w:trPr>
        <w:tc>
          <w:tcPr>
            <w:tcW w:w="1455" w:type="dxa"/>
            <w:vMerge w:val="restart"/>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jc w:val="center"/>
              <w:rPr>
                <w:b/>
                <w:b/>
                <w:sz w:val="16"/>
                <w:szCs w:val="16"/>
              </w:rPr>
            </w:pPr>
            <w:r>
              <w:rPr>
                <w:b/>
                <w:sz w:val="16"/>
                <w:szCs w:val="16"/>
              </w:rPr>
              <w:t>Cohort</w:t>
            </w:r>
          </w:p>
        </w:tc>
        <w:tc>
          <w:tcPr>
            <w:tcW w:w="12821" w:type="dxa"/>
            <w:gridSpan w:val="15"/>
            <w:tcBorders>
              <w:top w:val="single" w:sz="8" w:space="0" w:color="000000"/>
              <w:left w:val="single" w:sz="8" w:space="0" w:color="000000"/>
              <w:bottom w:val="single" w:sz="8" w:space="0" w:color="000000"/>
              <w:right w:val="single" w:sz="8" w:space="0" w:color="000000"/>
            </w:tcBorders>
            <w:shd w:color="auto" w:fill="B7B7B7" w:val="clear"/>
            <w:tcMar>
              <w:top w:w="0" w:type="dxa"/>
              <w:left w:w="108" w:type="dxa"/>
              <w:bottom w:w="0" w:type="dxa"/>
              <w:right w:w="108" w:type="dxa"/>
            </w:tcMar>
          </w:tcPr>
          <w:p>
            <w:pPr>
              <w:pStyle w:val="Normal"/>
              <w:widowControl w:val="false"/>
              <w:spacing w:lineRule="auto" w:line="240"/>
              <w:jc w:val="center"/>
              <w:rPr>
                <w:b/>
                <w:b/>
                <w:sz w:val="16"/>
                <w:szCs w:val="16"/>
              </w:rPr>
            </w:pPr>
            <w:r>
              <w:rPr>
                <w:b/>
                <w:sz w:val="16"/>
                <w:szCs w:val="16"/>
              </w:rPr>
              <w:t>Method</w:t>
            </w:r>
          </w:p>
        </w:tc>
      </w:tr>
      <w:tr>
        <w:trPr>
          <w:trHeight w:val="420" w:hRule="atLeast"/>
        </w:trPr>
        <w:tc>
          <w:tcPr>
            <w:tcW w:w="1455" w:type="dxa"/>
            <w:vMerge w:val="continue"/>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jc w:val="center"/>
              <w:rPr>
                <w:b/>
                <w:b/>
                <w:sz w:val="16"/>
                <w:szCs w:val="16"/>
              </w:rPr>
            </w:pPr>
            <w:r>
              <w:rPr>
                <w:b/>
                <w:sz w:val="16"/>
                <w:szCs w:val="16"/>
              </w:rPr>
            </w:r>
          </w:p>
        </w:tc>
        <w:tc>
          <w:tcPr>
            <w:tcW w:w="2564" w:type="dxa"/>
            <w:gridSpan w:val="3"/>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GMM</w:t>
            </w:r>
          </w:p>
        </w:tc>
        <w:tc>
          <w:tcPr>
            <w:tcW w:w="2566" w:type="dxa"/>
            <w:gridSpan w:val="3"/>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K-means</w:t>
            </w:r>
          </w:p>
        </w:tc>
        <w:tc>
          <w:tcPr>
            <w:tcW w:w="2567" w:type="dxa"/>
            <w:gridSpan w:val="3"/>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Tertile</w:t>
            </w:r>
          </w:p>
        </w:tc>
        <w:tc>
          <w:tcPr>
            <w:tcW w:w="2566" w:type="dxa"/>
            <w:gridSpan w:val="3"/>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ROC</w:t>
            </w:r>
          </w:p>
        </w:tc>
        <w:tc>
          <w:tcPr>
            <w:tcW w:w="2558" w:type="dxa"/>
            <w:gridSpan w:val="3"/>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Mean ±2 SD</w:t>
            </w:r>
          </w:p>
        </w:tc>
      </w:tr>
      <w:tr>
        <w:trPr>
          <w:trHeight w:val="360" w:hRule="atLeast"/>
        </w:trPr>
        <w:tc>
          <w:tcPr>
            <w:tcW w:w="1455" w:type="dxa"/>
            <w:vMerge w:val="continue"/>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jc w:val="center"/>
              <w:rPr>
                <w:b/>
                <w:b/>
                <w:sz w:val="16"/>
                <w:szCs w:val="16"/>
              </w:rPr>
            </w:pPr>
            <w:r>
              <w:rPr>
                <w:b/>
                <w:sz w:val="16"/>
                <w:szCs w:val="16"/>
              </w:rPr>
            </w:r>
          </w:p>
        </w:tc>
        <w:tc>
          <w:tcPr>
            <w:tcW w:w="8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Aβ1-42</w:t>
            </w:r>
          </w:p>
        </w:tc>
        <w:tc>
          <w:tcPr>
            <w:tcW w:w="85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pTau</w:t>
            </w:r>
          </w:p>
        </w:tc>
        <w:tc>
          <w:tcPr>
            <w:tcW w:w="8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tTau</w:t>
            </w:r>
          </w:p>
        </w:tc>
        <w:tc>
          <w:tcPr>
            <w:tcW w:w="85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Aβ1-42</w:t>
            </w:r>
          </w:p>
        </w:tc>
        <w:tc>
          <w:tcPr>
            <w:tcW w:w="8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pTau</w:t>
            </w:r>
          </w:p>
        </w:tc>
        <w:tc>
          <w:tcPr>
            <w:tcW w:w="85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tTau</w:t>
            </w:r>
          </w:p>
        </w:tc>
        <w:tc>
          <w:tcPr>
            <w:tcW w:w="856"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Aβ1-42</w:t>
            </w:r>
          </w:p>
        </w:tc>
        <w:tc>
          <w:tcPr>
            <w:tcW w:w="8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pTau</w:t>
            </w:r>
          </w:p>
        </w:tc>
        <w:tc>
          <w:tcPr>
            <w:tcW w:w="856"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tTau</w:t>
            </w:r>
          </w:p>
        </w:tc>
        <w:tc>
          <w:tcPr>
            <w:tcW w:w="8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Aβ1-42</w:t>
            </w:r>
          </w:p>
        </w:tc>
        <w:tc>
          <w:tcPr>
            <w:tcW w:w="85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pTau</w:t>
            </w:r>
          </w:p>
        </w:tc>
        <w:tc>
          <w:tcPr>
            <w:tcW w:w="85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tTau</w:t>
            </w:r>
          </w:p>
        </w:tc>
        <w:tc>
          <w:tcPr>
            <w:tcW w:w="8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Aβ1-42</w:t>
            </w:r>
          </w:p>
        </w:tc>
        <w:tc>
          <w:tcPr>
            <w:tcW w:w="85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pTau</w:t>
            </w:r>
          </w:p>
        </w:tc>
        <w:tc>
          <w:tcPr>
            <w:tcW w:w="849"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tTau</w:t>
            </w:r>
          </w:p>
        </w:tc>
      </w:tr>
      <w:tr>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ADNI</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1185.4 [1179.0, 1191.8]</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35.6 [35.5, 35.7]</w:t>
            </w:r>
          </w:p>
        </w:tc>
        <w:tc>
          <w:tcPr>
            <w:tcW w:w="855"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365.8 [364.7, 366.9]</w:t>
            </w:r>
          </w:p>
        </w:tc>
        <w:tc>
          <w:tcPr>
            <w:tcW w:w="857"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1094.8 [1094.2, 1095.4]</w:t>
            </w:r>
          </w:p>
        </w:tc>
        <w:tc>
          <w:tcPr>
            <w:tcW w:w="855"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27.4 [27.4, 27.5]</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285.4 [285.1, 285.6]</w:t>
            </w:r>
          </w:p>
        </w:tc>
        <w:tc>
          <w:tcPr>
            <w:tcW w:w="856"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950.0 [948.2, 951.9]</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23.4 [23.4, 23.5]</w:t>
            </w:r>
          </w:p>
        </w:tc>
        <w:tc>
          <w:tcPr>
            <w:tcW w:w="856"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258.8 [258.4, 259.2]</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866.5 [863.8, 869.2]</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24.9 [24.8, 25.1]</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269.0 [268.4, 269.7]</w:t>
            </w:r>
          </w:p>
        </w:tc>
        <w:tc>
          <w:tcPr>
            <w:tcW w:w="855"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321.7 [319.4, 324.0]</w:t>
            </w:r>
          </w:p>
        </w:tc>
        <w:tc>
          <w:tcPr>
            <w:tcW w:w="854"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40.2 [40.1, 40.3]</w:t>
            </w:r>
          </w:p>
        </w:tc>
        <w:tc>
          <w:tcPr>
            <w:tcW w:w="849"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417.8 [417.1, 418.5]</w:t>
            </w:r>
          </w:p>
        </w:tc>
      </w:tr>
      <w:tr>
        <w:trPr>
          <w:trHeight w:val="555" w:hRule="atLeast"/>
        </w:trPr>
        <w:tc>
          <w:tcPr>
            <w:tcW w:w="1455" w:type="dxa"/>
            <w:tcBorders>
              <w:top w:val="single" w:sz="8" w:space="0" w:color="000000"/>
              <w:left w:val="single" w:sz="8" w:space="0" w:color="000000"/>
              <w:bottom w:val="single" w:sz="24"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EPAD</w:t>
            </w:r>
          </w:p>
        </w:tc>
        <w:tc>
          <w:tcPr>
            <w:tcW w:w="855"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1382.0 [1381.3, 1382.6]</w:t>
            </w:r>
          </w:p>
        </w:tc>
        <w:tc>
          <w:tcPr>
            <w:tcW w:w="854" w:type="dxa"/>
            <w:tcBorders>
              <w:top w:val="single" w:sz="8" w:space="0" w:color="000000"/>
              <w:left w:val="single" w:sz="8" w:space="0" w:color="000000"/>
              <w:bottom w:val="single" w:sz="24"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29.2 [29.2, 29.3]</w:t>
            </w:r>
          </w:p>
        </w:tc>
        <w:tc>
          <w:tcPr>
            <w:tcW w:w="855" w:type="dxa"/>
            <w:tcBorders>
              <w:top w:val="single" w:sz="8" w:space="0" w:color="000000"/>
              <w:left w:val="single" w:sz="8" w:space="0" w:color="000000"/>
              <w:bottom w:val="single" w:sz="24"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311.6 [311.1, 312.2]</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1176.9 [1176.2, 1177.6]</w:t>
            </w:r>
          </w:p>
        </w:tc>
        <w:tc>
          <w:tcPr>
            <w:tcW w:w="855" w:type="dxa"/>
            <w:tcBorders>
              <w:top w:val="single" w:sz="8" w:space="0" w:color="000000"/>
              <w:left w:val="single" w:sz="8" w:space="0" w:color="000000"/>
              <w:bottom w:val="single" w:sz="24"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19.6 [19.6, 19.7]</w:t>
            </w:r>
          </w:p>
        </w:tc>
        <w:tc>
          <w:tcPr>
            <w:tcW w:w="854" w:type="dxa"/>
            <w:tcBorders>
              <w:top w:val="single" w:sz="8" w:space="0" w:color="000000"/>
              <w:left w:val="single" w:sz="8" w:space="0" w:color="000000"/>
              <w:bottom w:val="single" w:sz="24"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224.7 [224.5, 224.8]</w:t>
            </w:r>
          </w:p>
        </w:tc>
        <w:tc>
          <w:tcPr>
            <w:tcW w:w="856"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989.9 [988.9, 991.0]</w:t>
            </w:r>
          </w:p>
        </w:tc>
        <w:tc>
          <w:tcPr>
            <w:tcW w:w="855" w:type="dxa"/>
            <w:tcBorders>
              <w:top w:val="single" w:sz="8" w:space="0" w:color="000000"/>
              <w:left w:val="single" w:sz="8" w:space="0" w:color="000000"/>
              <w:bottom w:val="single" w:sz="24"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20.3 [20.2, 20.3]</w:t>
            </w:r>
          </w:p>
        </w:tc>
        <w:tc>
          <w:tcPr>
            <w:tcW w:w="856"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237.6 [237.4, 237.8]</w:t>
            </w:r>
          </w:p>
        </w:tc>
        <w:tc>
          <w:tcPr>
            <w:tcW w:w="855"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683.3 [679.1, 687.5]</w:t>
            </w:r>
          </w:p>
        </w:tc>
        <w:tc>
          <w:tcPr>
            <w:tcW w:w="854"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24.2 [23.8, 24.6]</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277.8 [272.8, 282.9]</w:t>
            </w:r>
          </w:p>
        </w:tc>
        <w:tc>
          <w:tcPr>
            <w:tcW w:w="855" w:type="dxa"/>
            <w:tcBorders>
              <w:top w:val="single" w:sz="8" w:space="0" w:color="000000"/>
              <w:left w:val="single" w:sz="8" w:space="0" w:color="000000"/>
              <w:bottom w:val="single" w:sz="24"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366.7 [365.6, 367.7]</w:t>
            </w:r>
          </w:p>
        </w:tc>
        <w:tc>
          <w:tcPr>
            <w:tcW w:w="854" w:type="dxa"/>
            <w:tcBorders>
              <w:top w:val="single" w:sz="8" w:space="0" w:color="000000"/>
              <w:left w:val="single" w:sz="8" w:space="0" w:color="000000"/>
              <w:bottom w:val="single" w:sz="24"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40.5 [40.5, 40.6]</w:t>
            </w:r>
          </w:p>
        </w:tc>
        <w:tc>
          <w:tcPr>
            <w:tcW w:w="849" w:type="dxa"/>
            <w:tcBorders>
              <w:top w:val="single" w:sz="8" w:space="0" w:color="000000"/>
              <w:left w:val="single" w:sz="8" w:space="0" w:color="000000"/>
              <w:bottom w:val="single" w:sz="24"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421.5 [420.9, 422.1]</w:t>
            </w:r>
          </w:p>
        </w:tc>
      </w:tr>
      <w:tr>
        <w:trPr>
          <w:trHeight w:val="551" w:hRule="atLeast"/>
        </w:trPr>
        <w:tc>
          <w:tcPr>
            <w:tcW w:w="1455" w:type="dxa"/>
            <w:tcBorders>
              <w:top w:val="single" w:sz="24"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AIBL</w:t>
            </w:r>
          </w:p>
        </w:tc>
        <w:tc>
          <w:tcPr>
            <w:tcW w:w="855"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747.6 [742.0, 753.2]</w:t>
            </w:r>
          </w:p>
        </w:tc>
        <w:tc>
          <w:tcPr>
            <w:tcW w:w="854"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87.7 [86.6, 88.7]</w:t>
            </w:r>
          </w:p>
        </w:tc>
        <w:tc>
          <w:tcPr>
            <w:tcW w:w="855"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604.1 [596.8, 611.5]</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683.1 [680.3, 685.9]</w:t>
            </w:r>
          </w:p>
        </w:tc>
        <w:tc>
          <w:tcPr>
            <w:tcW w:w="855"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76.9 [76.2, 77.6]</w:t>
            </w:r>
          </w:p>
        </w:tc>
        <w:tc>
          <w:tcPr>
            <w:tcW w:w="854"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526.2 [519.0, 533.3]</w:t>
            </w:r>
          </w:p>
        </w:tc>
        <w:tc>
          <w:tcPr>
            <w:tcW w:w="856"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5"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6"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5"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4"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5"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4"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49"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r>
      <w:tr>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ARWIBO</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591.7 [588.3, 595.2]</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143.4 [137.1, 149.7]</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587.6 [582.3, 592.9]</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524.1 [521.9, 526.4]</w:t>
            </w:r>
          </w:p>
        </w:tc>
        <w:tc>
          <w:tcPr>
            <w:tcW w:w="855"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72.1 [71.8, 72.4]</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572.4 [568.0, 576.9]</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r>
      <w:tr>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EDSD</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781.9 [775.6, 788.1]</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120.2 [118.7, 121.7]</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592.9 [584.0, 601.8]</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738.4 [732.7, 744.1]</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87.7 [86.9, 88.5]</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549.5 [544.7, 554.2]</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r>
      <w:tr>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PREVENT-AD</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1202.3 [1172.5, 1232.0]</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70.9 [70.1, 71.8]</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474.6 [464.8, 484.4]</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1144.7 [1142.3, 1147.2]</w:t>
            </w:r>
          </w:p>
        </w:tc>
        <w:tc>
          <w:tcPr>
            <w:tcW w:w="855"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50.5 [50.3, 50.7]</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306.8 [304.8, 308.8]</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1097.8 [1095.9, 1099.7]</w:t>
            </w:r>
          </w:p>
        </w:tc>
        <w:tc>
          <w:tcPr>
            <w:tcW w:w="855"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53.0 [52.9, 53.1]</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302.8 [301.9, 303.6]</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595.9 [592.0, 599.9]</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89.0 [88.6, 89.4]</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592.2 [588.4, 596.1]</w:t>
            </w:r>
          </w:p>
        </w:tc>
      </w:tr>
      <w:tr>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PharmaCog</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792.4 [790.6, 794.2]</w:t>
            </w:r>
          </w:p>
        </w:tc>
        <w:tc>
          <w:tcPr>
            <w:tcW w:w="854"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93.2 [92.9, 93.5]</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778.1 [755.1, 801.1]</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763.2 [760.7, 765.8]</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68.6 [68.0, 69.2]</w:t>
            </w:r>
          </w:p>
        </w:tc>
        <w:tc>
          <w:tcPr>
            <w:tcW w:w="854"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465.3 [463.1, 467.5]</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r>
      <w:tr>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NACC_ELISA</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593.4 [591.4, 595.5]</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81.9 [81.1, 82.7]</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574.0 [559.4, 588.6]</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585.1 [584.0, 586.3]</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61.8 [61.6, 62.1]</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492.3 [490.5, 494.1]</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625.8 [623.9, 627.6]</w:t>
            </w:r>
          </w:p>
        </w:tc>
        <w:tc>
          <w:tcPr>
            <w:tcW w:w="855"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48.1 [48.0, 48.2]</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369.6 [367.9, 371.3]</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450.8 [447.5, 454.1]</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61.1 [60.8, 61.5]</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502.8 [498.4, 507.3]</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294.3 [292.4, 296.2]</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87.0 [86.5, 87.5]</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722.5 [719.3, 725.8]</w:t>
            </w:r>
          </w:p>
        </w:tc>
      </w:tr>
      <w:tr>
        <w:trPr/>
        <w:tc>
          <w:tcPr>
            <w:tcW w:w="1455" w:type="dxa"/>
            <w:tcBorders>
              <w:top w:val="single" w:sz="8" w:space="0" w:color="000000"/>
              <w:left w:val="single" w:sz="8" w:space="0" w:color="000000"/>
              <w:bottom w:val="single" w:sz="24"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EMIF_ELISA</w:t>
            </w:r>
          </w:p>
        </w:tc>
        <w:tc>
          <w:tcPr>
            <w:tcW w:w="855"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742.2 [741.3, 743.0]</w:t>
            </w:r>
          </w:p>
        </w:tc>
        <w:tc>
          <w:tcPr>
            <w:tcW w:w="854"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81.9 [81.8, 82.1]</w:t>
            </w:r>
          </w:p>
        </w:tc>
        <w:tc>
          <w:tcPr>
            <w:tcW w:w="855" w:type="dxa"/>
            <w:tcBorders>
              <w:top w:val="single" w:sz="8" w:space="0" w:color="000000"/>
              <w:left w:val="single" w:sz="8" w:space="0" w:color="000000"/>
              <w:bottom w:val="single" w:sz="24"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525.0 [522.7, 527.3]</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700.6 [698.3, 703.0]</w:t>
            </w:r>
          </w:p>
        </w:tc>
        <w:tc>
          <w:tcPr>
            <w:tcW w:w="855"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64.8 [64.7, 64.9]</w:t>
            </w:r>
          </w:p>
        </w:tc>
        <w:tc>
          <w:tcPr>
            <w:tcW w:w="854"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432.5 [431.7, 433.3]</w:t>
            </w:r>
          </w:p>
        </w:tc>
        <w:tc>
          <w:tcPr>
            <w:tcW w:w="856"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541.4 [540.2, 542.6]</w:t>
            </w:r>
          </w:p>
        </w:tc>
        <w:tc>
          <w:tcPr>
            <w:tcW w:w="855" w:type="dxa"/>
            <w:tcBorders>
              <w:top w:val="single" w:sz="8" w:space="0" w:color="000000"/>
              <w:left w:val="single" w:sz="8" w:space="0" w:color="000000"/>
              <w:bottom w:val="single" w:sz="24"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52.2 [52.1, 52.3]</w:t>
            </w:r>
          </w:p>
        </w:tc>
        <w:tc>
          <w:tcPr>
            <w:tcW w:w="856"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268.3 [267.6, 269.1]</w:t>
            </w:r>
          </w:p>
        </w:tc>
        <w:tc>
          <w:tcPr>
            <w:tcW w:w="855"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575.7 [571.5, 580.0]</w:t>
            </w:r>
          </w:p>
        </w:tc>
        <w:tc>
          <w:tcPr>
            <w:tcW w:w="854"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62.6 [62.1, 63.0]</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336.4 [334.3, 338.6]</w:t>
            </w:r>
          </w:p>
        </w:tc>
        <w:tc>
          <w:tcPr>
            <w:tcW w:w="855"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175.2 [173.7, 176.7]</w:t>
            </w:r>
          </w:p>
        </w:tc>
        <w:tc>
          <w:tcPr>
            <w:tcW w:w="854" w:type="dxa"/>
            <w:tcBorders>
              <w:top w:val="single" w:sz="8" w:space="0" w:color="000000"/>
              <w:left w:val="single" w:sz="8" w:space="0" w:color="000000"/>
              <w:bottom w:val="single" w:sz="24"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94.6 [94.0, 95.1]</w:t>
            </w:r>
          </w:p>
        </w:tc>
        <w:tc>
          <w:tcPr>
            <w:tcW w:w="849"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649.5 [640.8, 658.1]</w:t>
            </w:r>
          </w:p>
        </w:tc>
      </w:tr>
      <w:tr>
        <w:trPr/>
        <w:tc>
          <w:tcPr>
            <w:tcW w:w="1455" w:type="dxa"/>
            <w:tcBorders>
              <w:top w:val="single" w:sz="24"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NACC_XMAP</w:t>
            </w:r>
          </w:p>
        </w:tc>
        <w:tc>
          <w:tcPr>
            <w:tcW w:w="855" w:type="dxa"/>
            <w:tcBorders>
              <w:top w:val="single" w:sz="24"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300.2 [298.5, 302.0]</w:t>
            </w:r>
          </w:p>
        </w:tc>
        <w:tc>
          <w:tcPr>
            <w:tcW w:w="854"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60.4 [59.6, 61.1]</w:t>
            </w:r>
          </w:p>
        </w:tc>
        <w:tc>
          <w:tcPr>
            <w:tcW w:w="855" w:type="dxa"/>
            <w:tcBorders>
              <w:top w:val="single" w:sz="24"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94.3 [93.6, 95.0]</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290.8 [288.5, 293.2]</w:t>
            </w:r>
          </w:p>
        </w:tc>
        <w:tc>
          <w:tcPr>
            <w:tcW w:w="855"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40.0 [39.9, 40.1]</w:t>
            </w:r>
          </w:p>
        </w:tc>
        <w:tc>
          <w:tcPr>
            <w:tcW w:w="854" w:type="dxa"/>
            <w:tcBorders>
              <w:top w:val="single" w:sz="24"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70.1 [69.9, 70.4]</w:t>
            </w:r>
          </w:p>
        </w:tc>
        <w:tc>
          <w:tcPr>
            <w:tcW w:w="856"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248.5 [247.7, 249.2]</w:t>
            </w:r>
          </w:p>
        </w:tc>
        <w:tc>
          <w:tcPr>
            <w:tcW w:w="855"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36.5 [36.4, 36.5]</w:t>
            </w:r>
          </w:p>
        </w:tc>
        <w:tc>
          <w:tcPr>
            <w:tcW w:w="856" w:type="dxa"/>
            <w:tcBorders>
              <w:top w:val="single" w:sz="24"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53.7 [53.6, 53.9]</w:t>
            </w:r>
          </w:p>
        </w:tc>
        <w:tc>
          <w:tcPr>
            <w:tcW w:w="855"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225.1 [224.5, 225.7]</w:t>
            </w:r>
          </w:p>
        </w:tc>
        <w:tc>
          <w:tcPr>
            <w:tcW w:w="854"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40.5 [40.3, 40.7]</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63.0 [62.4, 63.6]</w:t>
            </w:r>
          </w:p>
        </w:tc>
        <w:tc>
          <w:tcPr>
            <w:tcW w:w="855"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23.7 [22.7, 24.8]</w:t>
            </w:r>
          </w:p>
        </w:tc>
        <w:tc>
          <w:tcPr>
            <w:tcW w:w="854"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68.7 [68.3, 69.1]</w:t>
            </w:r>
          </w:p>
        </w:tc>
        <w:tc>
          <w:tcPr>
            <w:tcW w:w="849"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99.1 [98.7, 99.6]</w:t>
            </w:r>
          </w:p>
        </w:tc>
      </w:tr>
      <w:tr>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EMIF_XMAP</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391.5 [389.1, 394.0]</w:t>
            </w:r>
          </w:p>
        </w:tc>
        <w:tc>
          <w:tcPr>
            <w:tcW w:w="854"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51.9 [51.5, 52.4]</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229.9 [222.7, 237.0]</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363.1 [362.1, 364.0]</w:t>
            </w:r>
          </w:p>
        </w:tc>
        <w:tc>
          <w:tcPr>
            <w:tcW w:w="855"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37.5 [37.4, 37.6]</w:t>
            </w:r>
          </w:p>
        </w:tc>
        <w:tc>
          <w:tcPr>
            <w:tcW w:w="854"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129.7 [129.1, 130.2]</w:t>
            </w:r>
          </w:p>
        </w:tc>
        <w:tc>
          <w:tcPr>
            <w:tcW w:w="856"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448.7 [447.0, 450.4]</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31.4 [31.1, 31.6]</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80.3 [79.8, 80.9]</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376.9 [374.6, 379.2]</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30.6 [30.4, 30.9]</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98.6 [98.0, 99.1]</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245.6 [242.5, 248.8]</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54.3 [53.9, 54.6]</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122.3 [121.7, 122.8]</w:t>
            </w:r>
          </w:p>
        </w:tc>
      </w:tr>
      <w:tr>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DOD-ADNI</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1412.6 [1395.9, 1429.2]</w:t>
            </w:r>
          </w:p>
        </w:tc>
        <w:tc>
          <w:tcPr>
            <w:tcW w:w="854"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26.6 [26.5, 26.7]</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304.2 [302.7, 305.7]</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1280.0 [1273.4, 1286.5]</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22.3 [22.2, 22.4]</w:t>
            </w:r>
          </w:p>
        </w:tc>
        <w:tc>
          <w:tcPr>
            <w:tcW w:w="854"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249.9 [248.9, 250.9]</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931.7 [927.8, 935.6]</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19.9 [19.9, 20.0]</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234.2 [233.5, 235.0]</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293.6 [289.7, 297.5]</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34.1 [33.9, 34.2]</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368.2 [367.0, 369.4]</w:t>
            </w:r>
          </w:p>
        </w:tc>
      </w:tr>
      <w:tr>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JADNI</w:t>
            </w:r>
          </w:p>
        </w:tc>
        <w:tc>
          <w:tcPr>
            <w:tcW w:w="855"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415.4 [413.4, 417.4]</w:t>
            </w:r>
          </w:p>
        </w:tc>
        <w:tc>
          <w:tcPr>
            <w:tcW w:w="854"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61.4 [61.1, 61.7]</w:t>
            </w:r>
          </w:p>
        </w:tc>
        <w:tc>
          <w:tcPr>
            <w:tcW w:w="855"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134.1 [132.8, 135.3]</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393.2 [391.3, 395.1]</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59.9 [59.7, 60.1]</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129.8 [128.7, 130.8]</w:t>
            </w:r>
          </w:p>
        </w:tc>
        <w:tc>
          <w:tcPr>
            <w:tcW w:w="856"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390.8 [389.0, 392.6]</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38.5 [38.4, 38.6]</w:t>
            </w:r>
          </w:p>
        </w:tc>
        <w:tc>
          <w:tcPr>
            <w:tcW w:w="856"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jc w:val="center"/>
              <w:rPr>
                <w:sz w:val="16"/>
                <w:szCs w:val="16"/>
              </w:rPr>
            </w:pPr>
            <w:r>
              <w:rPr>
                <w:sz w:val="16"/>
                <w:szCs w:val="16"/>
              </w:rPr>
              <w:t>72.2 [71.9, 72.4]</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342.4 [341.0, 343.9]</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46.4 [46.1, 46.6]</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84.9 [84.7, 85.0]</w:t>
            </w:r>
          </w:p>
        </w:tc>
        <w:tc>
          <w:tcPr>
            <w:tcW w:w="8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191.2 [189.4, 193.0]</w:t>
            </w:r>
          </w:p>
        </w:tc>
        <w:tc>
          <w:tcPr>
            <w:tcW w:w="8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65.1 [64.6, 65.6]</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126.3 [125.4, 127.2]</w:t>
            </w:r>
          </w:p>
        </w:tc>
      </w:tr>
    </w:tbl>
    <w:p>
      <w:pPr>
        <w:pStyle w:val="Normal"/>
        <w:spacing w:lineRule="auto" w:line="240"/>
        <w:jc w:val="both"/>
        <w:rPr/>
      </w:pPr>
      <w:r>
        <w:rPr>
          <w:b/>
        </w:rPr>
        <w:t>Table S6:</w:t>
      </w:r>
      <w:r>
        <w:rPr/>
        <w:t xml:space="preserve"> Thresholds obtained using each methodology for CSF biomarkers through 1000 bootstraps. The mean thresholds and the confidence intervals, in brackets, are given. The gray cells indicate that the obtained thresholds fell within the confidence intervals.</w:t>
      </w:r>
      <w:r>
        <w:br w:type="page"/>
      </w:r>
    </w:p>
    <w:p>
      <w:pPr>
        <w:pStyle w:val="Normal"/>
        <w:spacing w:lineRule="auto" w:line="360"/>
        <w:rPr>
          <w:sz w:val="24"/>
          <w:szCs w:val="24"/>
        </w:rPr>
      </w:pPr>
      <w:r>
        <w:rPr>
          <w:sz w:val="24"/>
          <w:szCs w:val="24"/>
        </w:rPr>
      </w:r>
    </w:p>
    <w:tbl>
      <w:tblPr>
        <w:tblStyle w:val="a5"/>
        <w:tblW w:w="14310"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1455"/>
        <w:gridCol w:w="857"/>
        <w:gridCol w:w="857"/>
        <w:gridCol w:w="857"/>
        <w:gridCol w:w="858"/>
        <w:gridCol w:w="857"/>
        <w:gridCol w:w="857"/>
        <w:gridCol w:w="857"/>
        <w:gridCol w:w="857"/>
        <w:gridCol w:w="857"/>
        <w:gridCol w:w="859"/>
        <w:gridCol w:w="856"/>
        <w:gridCol w:w="857"/>
        <w:gridCol w:w="857"/>
        <w:gridCol w:w="857"/>
        <w:gridCol w:w="851"/>
      </w:tblGrid>
      <w:tr>
        <w:trPr>
          <w:trHeight w:val="420" w:hRule="atLeast"/>
        </w:trPr>
        <w:tc>
          <w:tcPr>
            <w:tcW w:w="1455" w:type="dxa"/>
            <w:vMerge w:val="restart"/>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jc w:val="center"/>
              <w:rPr>
                <w:b/>
                <w:b/>
                <w:sz w:val="16"/>
                <w:szCs w:val="16"/>
              </w:rPr>
            </w:pPr>
            <w:r>
              <w:rPr>
                <w:b/>
                <w:sz w:val="16"/>
                <w:szCs w:val="16"/>
              </w:rPr>
              <w:t>Cohort</w:t>
            </w:r>
          </w:p>
        </w:tc>
        <w:tc>
          <w:tcPr>
            <w:tcW w:w="12851" w:type="dxa"/>
            <w:gridSpan w:val="15"/>
            <w:tcBorders>
              <w:top w:val="single" w:sz="8" w:space="0" w:color="000000"/>
              <w:left w:val="single" w:sz="8" w:space="0" w:color="000000"/>
              <w:bottom w:val="single" w:sz="8" w:space="0" w:color="000000"/>
              <w:right w:val="single" w:sz="8" w:space="0" w:color="000000"/>
            </w:tcBorders>
            <w:shd w:color="auto" w:fill="B7B7B7" w:val="clear"/>
            <w:tcMar>
              <w:top w:w="0" w:type="dxa"/>
              <w:left w:w="108" w:type="dxa"/>
              <w:bottom w:w="0" w:type="dxa"/>
              <w:right w:w="108" w:type="dxa"/>
            </w:tcMar>
          </w:tcPr>
          <w:p>
            <w:pPr>
              <w:pStyle w:val="Normal"/>
              <w:widowControl w:val="false"/>
              <w:spacing w:lineRule="auto" w:line="240"/>
              <w:jc w:val="center"/>
              <w:rPr>
                <w:b/>
                <w:b/>
                <w:sz w:val="16"/>
                <w:szCs w:val="16"/>
              </w:rPr>
            </w:pPr>
            <w:r>
              <w:rPr>
                <w:b/>
                <w:sz w:val="16"/>
                <w:szCs w:val="16"/>
              </w:rPr>
              <w:t>Method</w:t>
            </w:r>
          </w:p>
        </w:tc>
      </w:tr>
      <w:tr>
        <w:trPr>
          <w:trHeight w:val="420" w:hRule="atLeast"/>
        </w:trPr>
        <w:tc>
          <w:tcPr>
            <w:tcW w:w="1455" w:type="dxa"/>
            <w:vMerge w:val="continue"/>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jc w:val="center"/>
              <w:rPr>
                <w:b/>
                <w:b/>
                <w:sz w:val="16"/>
                <w:szCs w:val="16"/>
              </w:rPr>
            </w:pPr>
            <w:r>
              <w:rPr>
                <w:b/>
                <w:sz w:val="16"/>
                <w:szCs w:val="16"/>
              </w:rPr>
            </w:r>
          </w:p>
        </w:tc>
        <w:tc>
          <w:tcPr>
            <w:tcW w:w="2571" w:type="dxa"/>
            <w:gridSpan w:val="3"/>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GMM</w:t>
            </w:r>
          </w:p>
        </w:tc>
        <w:tc>
          <w:tcPr>
            <w:tcW w:w="2572" w:type="dxa"/>
            <w:gridSpan w:val="3"/>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K-means</w:t>
            </w:r>
          </w:p>
        </w:tc>
        <w:tc>
          <w:tcPr>
            <w:tcW w:w="2571" w:type="dxa"/>
            <w:gridSpan w:val="3"/>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Tertile</w:t>
            </w:r>
          </w:p>
        </w:tc>
        <w:tc>
          <w:tcPr>
            <w:tcW w:w="2572" w:type="dxa"/>
            <w:gridSpan w:val="3"/>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ROC</w:t>
            </w:r>
          </w:p>
        </w:tc>
        <w:tc>
          <w:tcPr>
            <w:tcW w:w="2565" w:type="dxa"/>
            <w:gridSpan w:val="3"/>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Mean ±2 SD</w:t>
            </w:r>
          </w:p>
        </w:tc>
      </w:tr>
      <w:tr>
        <w:trPr>
          <w:trHeight w:val="360" w:hRule="atLeast"/>
        </w:trPr>
        <w:tc>
          <w:tcPr>
            <w:tcW w:w="1455" w:type="dxa"/>
            <w:vMerge w:val="continue"/>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jc w:val="center"/>
              <w:rPr>
                <w:b/>
                <w:b/>
                <w:sz w:val="16"/>
                <w:szCs w:val="16"/>
              </w:rPr>
            </w:pPr>
            <w:r>
              <w:rPr>
                <w:b/>
                <w:sz w:val="16"/>
                <w:szCs w:val="16"/>
              </w:rPr>
            </w:r>
          </w:p>
        </w:tc>
        <w:tc>
          <w:tcPr>
            <w:tcW w:w="85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Aβ1-42</w:t>
            </w:r>
          </w:p>
        </w:tc>
        <w:tc>
          <w:tcPr>
            <w:tcW w:w="85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pTau</w:t>
            </w:r>
          </w:p>
        </w:tc>
        <w:tc>
          <w:tcPr>
            <w:tcW w:w="85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tTau</w:t>
            </w:r>
          </w:p>
        </w:tc>
        <w:tc>
          <w:tcPr>
            <w:tcW w:w="858"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Aβ1-42</w:t>
            </w:r>
          </w:p>
        </w:tc>
        <w:tc>
          <w:tcPr>
            <w:tcW w:w="85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pTau</w:t>
            </w:r>
          </w:p>
        </w:tc>
        <w:tc>
          <w:tcPr>
            <w:tcW w:w="85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tTau</w:t>
            </w:r>
          </w:p>
        </w:tc>
        <w:tc>
          <w:tcPr>
            <w:tcW w:w="85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Aβ1-42</w:t>
            </w:r>
          </w:p>
        </w:tc>
        <w:tc>
          <w:tcPr>
            <w:tcW w:w="85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pTau</w:t>
            </w:r>
          </w:p>
        </w:tc>
        <w:tc>
          <w:tcPr>
            <w:tcW w:w="85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tTau</w:t>
            </w:r>
          </w:p>
        </w:tc>
        <w:tc>
          <w:tcPr>
            <w:tcW w:w="859"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Aβ1-42</w:t>
            </w:r>
          </w:p>
        </w:tc>
        <w:tc>
          <w:tcPr>
            <w:tcW w:w="856"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pTau</w:t>
            </w:r>
          </w:p>
        </w:tc>
        <w:tc>
          <w:tcPr>
            <w:tcW w:w="85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tTau</w:t>
            </w:r>
          </w:p>
        </w:tc>
        <w:tc>
          <w:tcPr>
            <w:tcW w:w="85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Aβ1-42</w:t>
            </w:r>
          </w:p>
        </w:tc>
        <w:tc>
          <w:tcPr>
            <w:tcW w:w="85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pTau</w:t>
            </w:r>
          </w:p>
        </w:tc>
        <w:tc>
          <w:tcPr>
            <w:tcW w:w="851"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tTau</w:t>
            </w:r>
          </w:p>
        </w:tc>
      </w:tr>
      <w:tr>
        <w:trPr>
          <w:trHeight w:val="432" w:hRule="atLeast"/>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ADNI</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1.09 %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0.5 %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0.59 %</w:t>
            </w:r>
          </w:p>
        </w:tc>
        <w:tc>
          <w:tcPr>
            <w:tcW w:w="85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0.11 %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0.2 %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0.18 %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0.38 %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0.49 %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0.31 %</w:t>
            </w:r>
          </w:p>
        </w:tc>
        <w:tc>
          <w:tcPr>
            <w:tcW w:w="8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0.63 %</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0.95 %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0.5 %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1.43 %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0.41 %</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0.34 %</w:t>
            </w:r>
          </w:p>
        </w:tc>
      </w:tr>
      <w:tr>
        <w:trPr>
          <w:trHeight w:val="432" w:hRule="atLeast"/>
        </w:trPr>
        <w:tc>
          <w:tcPr>
            <w:tcW w:w="1455" w:type="dxa"/>
            <w:tcBorders>
              <w:top w:val="single" w:sz="8" w:space="0" w:color="000000"/>
              <w:left w:val="single" w:sz="8" w:space="0" w:color="000000"/>
              <w:bottom w:val="single" w:sz="24"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EPAD</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0.09 %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0.33 %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0.34 %</w:t>
            </w:r>
          </w:p>
        </w:tc>
        <w:tc>
          <w:tcPr>
            <w:tcW w:w="858"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0.12 %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0.16 %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0.14 %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0.21 %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0.14 %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0.16 %</w:t>
            </w:r>
          </w:p>
        </w:tc>
        <w:tc>
          <w:tcPr>
            <w:tcW w:w="859"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1.23 %</w:t>
            </w:r>
          </w:p>
        </w:tc>
        <w:tc>
          <w:tcPr>
            <w:tcW w:w="856"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3.57 %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3.67 %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0.56 %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0.36 %</w:t>
            </w:r>
          </w:p>
        </w:tc>
        <w:tc>
          <w:tcPr>
            <w:tcW w:w="851"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0.27 %</w:t>
            </w:r>
          </w:p>
        </w:tc>
      </w:tr>
      <w:tr>
        <w:trPr>
          <w:trHeight w:val="432" w:hRule="atLeast"/>
        </w:trPr>
        <w:tc>
          <w:tcPr>
            <w:tcW w:w="1455" w:type="dxa"/>
            <w:tcBorders>
              <w:top w:val="single" w:sz="24"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AIBL</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1.49 %</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2.37 %</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2.44 %</w:t>
            </w:r>
          </w:p>
        </w:tc>
        <w:tc>
          <w:tcPr>
            <w:tcW w:w="858"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0.82 %</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1.81 %</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2.72 %</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9"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6"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1"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r>
      <w:tr>
        <w:trPr>
          <w:trHeight w:val="432" w:hRule="atLeast"/>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ARWIBO</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1.17 %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8.8 %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1.8 %</w:t>
            </w:r>
          </w:p>
        </w:tc>
        <w:tc>
          <w:tcPr>
            <w:tcW w:w="85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0.86 %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0.78 %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1.55 %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r>
      <w:tr>
        <w:trPr>
          <w:trHeight w:val="432" w:hRule="atLeast"/>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EDSD</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1.6 %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2.54 %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3.01 %</w:t>
            </w:r>
          </w:p>
        </w:tc>
        <w:tc>
          <w:tcPr>
            <w:tcW w:w="85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1.54 %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1.77 %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1.71 %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r>
      <w:tr>
        <w:trPr>
          <w:trHeight w:val="432" w:hRule="atLeast"/>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PREVENT-AD</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4.94 %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2.41 %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4.13 %</w:t>
            </w:r>
          </w:p>
        </w:tc>
        <w:tc>
          <w:tcPr>
            <w:tcW w:w="85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0.43 %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0.8 %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1.3 %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0.35 %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0.53 %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0.54 %</w:t>
            </w:r>
          </w:p>
        </w:tc>
        <w:tc>
          <w:tcPr>
            <w:tcW w:w="8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1.32 %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0.87 %</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1.29 %</w:t>
            </w:r>
          </w:p>
        </w:tc>
      </w:tr>
      <w:tr>
        <w:trPr>
          <w:trHeight w:val="432" w:hRule="atLeast"/>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PharmaCog</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0.45 %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0.71 %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5.91 %</w:t>
            </w:r>
          </w:p>
        </w:tc>
        <w:tc>
          <w:tcPr>
            <w:tcW w:w="85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0.67 %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1.73 %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0.96 %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r>
      <w:tr>
        <w:trPr>
          <w:trHeight w:val="432" w:hRule="atLeast"/>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NACC_ELISA</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0.69 %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1.88 %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5.08 %</w:t>
            </w:r>
          </w:p>
        </w:tc>
        <w:tc>
          <w:tcPr>
            <w:tcW w:w="85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0.4 %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0.75 %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0.74 %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0.58 %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0.54 %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0.92 %</w:t>
            </w:r>
          </w:p>
        </w:tc>
        <w:tc>
          <w:tcPr>
            <w:tcW w:w="8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1.48 %</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1.18 %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1.78 %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1.3 %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1.09 %</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0.9 %</w:t>
            </w:r>
          </w:p>
        </w:tc>
      </w:tr>
      <w:tr>
        <w:trPr>
          <w:trHeight w:val="432" w:hRule="atLeast"/>
        </w:trPr>
        <w:tc>
          <w:tcPr>
            <w:tcW w:w="1455" w:type="dxa"/>
            <w:tcBorders>
              <w:top w:val="single" w:sz="8" w:space="0" w:color="000000"/>
              <w:left w:val="single" w:sz="8" w:space="0" w:color="000000"/>
              <w:bottom w:val="single" w:sz="24"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EMIF_ELISA</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0.24 %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0.44 %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0.87 %</w:t>
            </w:r>
          </w:p>
        </w:tc>
        <w:tc>
          <w:tcPr>
            <w:tcW w:w="858"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0.68 %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0.26 %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0.38 %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0.46 %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0.37 %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0.56 %</w:t>
            </w:r>
          </w:p>
        </w:tc>
        <w:tc>
          <w:tcPr>
            <w:tcW w:w="859"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1.47 %</w:t>
            </w:r>
          </w:p>
        </w:tc>
        <w:tc>
          <w:tcPr>
            <w:tcW w:w="856"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1.54 %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1.27 %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1.75 %</w:t>
            </w:r>
          </w:p>
        </w:tc>
        <w:tc>
          <w:tcPr>
            <w:tcW w:w="857"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1.13 %</w:t>
            </w:r>
          </w:p>
        </w:tc>
        <w:tc>
          <w:tcPr>
            <w:tcW w:w="851" w:type="dxa"/>
            <w:tcBorders>
              <w:top w:val="single" w:sz="8" w:space="0" w:color="000000"/>
              <w:left w:val="single" w:sz="8" w:space="0" w:color="000000"/>
              <w:bottom w:val="single" w:sz="24" w:space="0" w:color="000000"/>
              <w:right w:val="single" w:sz="8" w:space="0" w:color="000000"/>
            </w:tcBorders>
          </w:tcPr>
          <w:p>
            <w:pPr>
              <w:pStyle w:val="Normal"/>
              <w:widowControl w:val="false"/>
              <w:spacing w:lineRule="auto" w:line="240"/>
              <w:jc w:val="center"/>
              <w:rPr>
                <w:sz w:val="16"/>
                <w:szCs w:val="16"/>
              </w:rPr>
            </w:pPr>
            <w:r>
              <w:rPr>
                <w:sz w:val="16"/>
                <w:szCs w:val="16"/>
              </w:rPr>
              <w:t>2.67 %</w:t>
            </w:r>
          </w:p>
        </w:tc>
      </w:tr>
      <w:tr>
        <w:trPr>
          <w:trHeight w:val="432" w:hRule="atLeast"/>
        </w:trPr>
        <w:tc>
          <w:tcPr>
            <w:tcW w:w="1455" w:type="dxa"/>
            <w:tcBorders>
              <w:top w:val="single" w:sz="24"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NACC_XMAP</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1.16 %</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2.42 %</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1.49 %</w:t>
            </w:r>
          </w:p>
        </w:tc>
        <w:tc>
          <w:tcPr>
            <w:tcW w:w="858"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1.61 %</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0.56 %</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0.65 %</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0.62 %</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0.38 %</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0.59 %</w:t>
            </w:r>
          </w:p>
        </w:tc>
        <w:tc>
          <w:tcPr>
            <w:tcW w:w="859"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0.5 %</w:t>
            </w:r>
          </w:p>
        </w:tc>
        <w:tc>
          <w:tcPr>
            <w:tcW w:w="856"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1.0 %</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1.79 %</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8.86 %</w:t>
            </w:r>
          </w:p>
        </w:tc>
        <w:tc>
          <w:tcPr>
            <w:tcW w:w="857"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1.17 %</w:t>
            </w:r>
          </w:p>
        </w:tc>
        <w:tc>
          <w:tcPr>
            <w:tcW w:w="851" w:type="dxa"/>
            <w:tcBorders>
              <w:top w:val="single" w:sz="24"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0.98 %</w:t>
            </w:r>
          </w:p>
        </w:tc>
      </w:tr>
      <w:tr>
        <w:trPr>
          <w:trHeight w:val="432" w:hRule="atLeast"/>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EMIF_XMAP</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1.25 %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1.72 %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6.25 %</w:t>
            </w:r>
          </w:p>
        </w:tc>
        <w:tc>
          <w:tcPr>
            <w:tcW w:w="85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0.53 %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0.56 %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0.85 %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0.76 %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1.57 %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1.39 %</w:t>
            </w:r>
          </w:p>
        </w:tc>
        <w:tc>
          <w:tcPr>
            <w:tcW w:w="8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1.23 %</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1.68 %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1.13 %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2.56 %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1.47 %</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0.86 %</w:t>
            </w:r>
          </w:p>
        </w:tc>
      </w:tr>
      <w:tr>
        <w:trPr>
          <w:trHeight w:val="432" w:hRule="atLeast"/>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DOD-ADNI</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2.36 %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0.77 %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0.97 %</w:t>
            </w:r>
          </w:p>
        </w:tc>
        <w:tc>
          <w:tcPr>
            <w:tcW w:w="85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1.02 %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0.96 %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0.79 %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0.84 %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0.64 %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0.64 %</w:t>
            </w:r>
          </w:p>
        </w:tc>
        <w:tc>
          <w:tcPr>
            <w:tcW w:w="8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2.65 %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0.83 %</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0.66 %</w:t>
            </w:r>
          </w:p>
        </w:tc>
      </w:tr>
      <w:tr>
        <w:trPr>
          <w:trHeight w:val="432" w:hRule="atLeast"/>
        </w:trPr>
        <w:tc>
          <w:tcPr>
            <w:tcW w:w="14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JADNI</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0.96 %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0.95 %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1.89 %</w:t>
            </w:r>
          </w:p>
        </w:tc>
        <w:tc>
          <w:tcPr>
            <w:tcW w:w="85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0.96 %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0.81 %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1.64 %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0.94 %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0.41 %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0.71 %</w:t>
            </w:r>
          </w:p>
        </w:tc>
        <w:tc>
          <w:tcPr>
            <w:tcW w:w="8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0.85 %</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1.18 %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0.43 %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1.87 %</w:t>
            </w:r>
          </w:p>
        </w:tc>
        <w:tc>
          <w:tcPr>
            <w:tcW w:w="8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1.53 %</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1.47 %</w:t>
            </w:r>
          </w:p>
        </w:tc>
      </w:tr>
    </w:tbl>
    <w:p>
      <w:pPr>
        <w:sectPr>
          <w:footerReference w:type="default" r:id="rId6"/>
          <w:type w:val="nextPage"/>
          <w:pgSz w:orient="landscape" w:w="15840" w:h="12240"/>
          <w:pgMar w:left="1440" w:right="1440" w:gutter="0" w:header="0" w:top="1440" w:footer="720" w:bottom="1440"/>
          <w:pgNumType w:fmt="decimal"/>
          <w:formProt w:val="false"/>
          <w:textDirection w:val="lrTb"/>
          <w:docGrid w:type="default" w:linePitch="100" w:charSpace="4096"/>
        </w:sectPr>
        <w:pStyle w:val="Normal"/>
        <w:spacing w:lineRule="auto" w:line="240"/>
        <w:jc w:val="both"/>
        <w:rPr/>
      </w:pPr>
      <w:r>
        <w:rPr>
          <w:b/>
        </w:rPr>
        <w:t>Table S7:</w:t>
      </w:r>
      <w:r>
        <w:rPr/>
        <w:t xml:space="preserve"> The variation among thresholds obtained through bootstrapping for each biomarker using different methodologies.</w:t>
      </w:r>
    </w:p>
    <w:p>
      <w:pPr>
        <w:pStyle w:val="Normal"/>
        <w:spacing w:lineRule="auto" w:line="240"/>
        <w:jc w:val="both"/>
        <w:rPr/>
      </w:pPr>
      <w:r>
        <w:rPr/>
      </w:r>
    </w:p>
    <w:p>
      <w:pPr>
        <w:pStyle w:val="Normal"/>
        <w:spacing w:lineRule="auto" w:line="240"/>
        <w:jc w:val="both"/>
        <w:rPr/>
      </w:pPr>
      <w:r>
        <w:rPr/>
      </w:r>
    </w:p>
    <w:tbl>
      <w:tblPr>
        <w:tblStyle w:val="a6"/>
        <w:tblW w:w="4620"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1514"/>
        <w:gridCol w:w="1035"/>
        <w:gridCol w:w="1036"/>
        <w:gridCol w:w="1034"/>
      </w:tblGrid>
      <w:tr>
        <w:trPr>
          <w:trHeight w:val="400" w:hRule="atLeast"/>
        </w:trPr>
        <w:tc>
          <w:tcPr>
            <w:tcW w:w="1514" w:type="dxa"/>
            <w:vMerge w:val="restart"/>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r>
          </w:p>
          <w:p>
            <w:pPr>
              <w:pStyle w:val="Normal"/>
              <w:widowControl w:val="false"/>
              <w:spacing w:lineRule="auto" w:line="240"/>
              <w:jc w:val="center"/>
              <w:rPr>
                <w:b/>
                <w:b/>
                <w:sz w:val="16"/>
                <w:szCs w:val="16"/>
              </w:rPr>
            </w:pPr>
            <w:r>
              <w:rPr>
                <w:b/>
                <w:sz w:val="16"/>
                <w:szCs w:val="16"/>
              </w:rPr>
              <w:t>Cohort</w:t>
            </w:r>
          </w:p>
        </w:tc>
        <w:tc>
          <w:tcPr>
            <w:tcW w:w="3105" w:type="dxa"/>
            <w:gridSpan w:val="3"/>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Biomarkers</w:t>
            </w:r>
          </w:p>
        </w:tc>
      </w:tr>
      <w:tr>
        <w:trPr>
          <w:trHeight w:val="400" w:hRule="atLeast"/>
        </w:trPr>
        <w:tc>
          <w:tcPr>
            <w:tcW w:w="1514" w:type="dxa"/>
            <w:vMerge w:val="continue"/>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20"/>
                <w:szCs w:val="20"/>
              </w:rPr>
            </w:pPr>
            <w:r>
              <w:rPr>
                <w:b/>
                <w:sz w:val="20"/>
                <w:szCs w:val="20"/>
              </w:rPr>
            </w:r>
          </w:p>
        </w:tc>
        <w:tc>
          <w:tcPr>
            <w:tcW w:w="103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Aβ1-42</w:t>
            </w:r>
          </w:p>
        </w:tc>
        <w:tc>
          <w:tcPr>
            <w:tcW w:w="1036"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pTau</w:t>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tTau</w:t>
            </w:r>
          </w:p>
        </w:tc>
      </w:tr>
      <w:tr>
        <w:trPr/>
        <w:tc>
          <w:tcPr>
            <w:tcW w:w="151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ADNI</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71.77</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41.04</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38.07</w:t>
            </w:r>
          </w:p>
        </w:tc>
      </w:tr>
      <w:tr>
        <w:trPr/>
        <w:tc>
          <w:tcPr>
            <w:tcW w:w="151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EPAD</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73.52</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52.96</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49.35</w:t>
            </w:r>
          </w:p>
        </w:tc>
      </w:tr>
      <w:tr>
        <w:trPr/>
        <w:tc>
          <w:tcPr>
            <w:tcW w:w="151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PREVENT-AD</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48.85</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43.86</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49.57</w:t>
            </w:r>
          </w:p>
        </w:tc>
      </w:tr>
      <w:tr>
        <w:trPr/>
        <w:tc>
          <w:tcPr>
            <w:tcW w:w="151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NACC_ELISA</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53.66</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45.45</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48.33</w:t>
            </w:r>
          </w:p>
        </w:tc>
      </w:tr>
      <w:tr>
        <w:trPr/>
        <w:tc>
          <w:tcPr>
            <w:tcW w:w="151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EMIF_ELISA</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76.72</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45.22</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59.76</w:t>
            </w:r>
          </w:p>
        </w:tc>
      </w:tr>
      <w:tr>
        <w:trPr/>
        <w:tc>
          <w:tcPr>
            <w:tcW w:w="151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NACC_xMAP</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92.7</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47.62</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46.04</w:t>
            </w:r>
          </w:p>
        </w:tc>
      </w:tr>
      <w:tr>
        <w:trPr>
          <w:trHeight w:val="378" w:hRule="atLeast"/>
        </w:trPr>
        <w:tc>
          <w:tcPr>
            <w:tcW w:w="151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EMIF_xMAP</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46.8</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48.01</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59.26</w:t>
            </w:r>
          </w:p>
        </w:tc>
      </w:tr>
      <w:tr>
        <w:trPr/>
        <w:tc>
          <w:tcPr>
            <w:tcW w:w="151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DOD-ADNI</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77.87</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42.27</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38.09</w:t>
            </w:r>
          </w:p>
        </w:tc>
      </w:tr>
      <w:tr>
        <w:trPr/>
        <w:tc>
          <w:tcPr>
            <w:tcW w:w="151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JADNI</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55.12</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41.24</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50.48</w:t>
            </w:r>
          </w:p>
        </w:tc>
      </w:tr>
      <w:tr>
        <w:trPr/>
        <w:tc>
          <w:tcPr>
            <w:tcW w:w="151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Average</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66.33</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45.3</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48.77</w:t>
            </w:r>
          </w:p>
        </w:tc>
      </w:tr>
    </w:tbl>
    <w:p>
      <w:pPr>
        <w:pStyle w:val="Normal"/>
        <w:jc w:val="both"/>
        <w:rPr/>
      </w:pPr>
      <w:r>
        <w:rPr>
          <w:b/>
        </w:rPr>
        <w:t xml:space="preserve">Table S8: </w:t>
      </w:r>
      <w:r>
        <w:rPr/>
        <w:t>The relative change among thresholds achieved through different methods for each biomarker. Percentages are calculated with respect to each cohort’s largest threshold for the respective biomarker. AIBL, ARWIBO, EDSD, and PharmaCog were removed from this assessment as only two out of the five thresholding methods could be performed on them.</w:t>
      </w:r>
    </w:p>
    <w:p>
      <w:pPr>
        <w:pStyle w:val="Normal"/>
        <w:jc w:val="both"/>
        <w:rPr/>
      </w:pPr>
      <w:r>
        <w:rPr/>
      </w:r>
    </w:p>
    <w:tbl>
      <w:tblPr>
        <w:tblStyle w:val="a7"/>
        <w:tblW w:w="9360"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2340"/>
        <w:gridCol w:w="2340"/>
        <w:gridCol w:w="2340"/>
        <w:gridCol w:w="2339"/>
      </w:tblGrid>
      <w:tr>
        <w:trPr>
          <w:trHeight w:val="447" w:hRule="atLeast"/>
        </w:trPr>
        <w:tc>
          <w:tcPr>
            <w:tcW w:w="2340" w:type="dxa"/>
            <w:vMerge w:val="restart"/>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jc w:val="center"/>
              <w:rPr>
                <w:b/>
                <w:b/>
                <w:sz w:val="16"/>
                <w:szCs w:val="16"/>
              </w:rPr>
            </w:pPr>
            <w:r>
              <w:rPr>
                <w:b/>
                <w:sz w:val="16"/>
                <w:szCs w:val="16"/>
              </w:rPr>
              <w:t>Groups</w:t>
            </w:r>
          </w:p>
        </w:tc>
        <w:tc>
          <w:tcPr>
            <w:tcW w:w="7019" w:type="dxa"/>
            <w:gridSpan w:val="3"/>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Biomarkers</w:t>
            </w:r>
          </w:p>
        </w:tc>
      </w:tr>
      <w:tr>
        <w:trPr>
          <w:trHeight w:val="420" w:hRule="atLeast"/>
        </w:trPr>
        <w:tc>
          <w:tcPr>
            <w:tcW w:w="2340" w:type="dxa"/>
            <w:vMerge w:val="continue"/>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rPr/>
            </w:pPr>
            <w:r>
              <w:rPr/>
            </w:r>
          </w:p>
        </w:tc>
        <w:tc>
          <w:tcPr>
            <w:tcW w:w="234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Aβ1-42</w:t>
            </w:r>
          </w:p>
        </w:tc>
        <w:tc>
          <w:tcPr>
            <w:tcW w:w="234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pTau</w:t>
            </w:r>
          </w:p>
        </w:tc>
        <w:tc>
          <w:tcPr>
            <w:tcW w:w="2339"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tTau</w:t>
            </w:r>
          </w:p>
        </w:tc>
      </w:tr>
      <w:tr>
        <w:trPr/>
        <w:tc>
          <w:tcPr>
            <w:tcW w:w="234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ADNI</w:t>
            </w:r>
          </w:p>
          <w:p>
            <w:pPr>
              <w:pStyle w:val="Normal"/>
              <w:widowControl w:val="false"/>
              <w:spacing w:lineRule="auto" w:line="240"/>
              <w:rPr>
                <w:b/>
                <w:b/>
                <w:sz w:val="16"/>
                <w:szCs w:val="16"/>
              </w:rPr>
            </w:pPr>
            <w:r>
              <w:rPr>
                <w:b/>
                <w:sz w:val="16"/>
                <w:szCs w:val="16"/>
              </w:rPr>
              <w:t>EPAD</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11.8 %</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16.55 %</w:t>
            </w:r>
          </w:p>
        </w:tc>
        <w:tc>
          <w:tcPr>
            <w:tcW w:w="233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12.87 %</w:t>
            </w:r>
          </w:p>
        </w:tc>
      </w:tr>
      <w:tr>
        <w:trPr/>
        <w:tc>
          <w:tcPr>
            <w:tcW w:w="234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AIBL</w:t>
            </w:r>
          </w:p>
          <w:p>
            <w:pPr>
              <w:pStyle w:val="Normal"/>
              <w:widowControl w:val="false"/>
              <w:spacing w:lineRule="auto" w:line="240"/>
              <w:rPr>
                <w:b/>
                <w:b/>
                <w:sz w:val="16"/>
                <w:szCs w:val="16"/>
              </w:rPr>
            </w:pPr>
            <w:r>
              <w:rPr>
                <w:b/>
                <w:sz w:val="16"/>
                <w:szCs w:val="16"/>
              </w:rPr>
              <w:t>ARWIBO</w:t>
            </w:r>
          </w:p>
          <w:p>
            <w:pPr>
              <w:pStyle w:val="Normal"/>
              <w:widowControl w:val="false"/>
              <w:spacing w:lineRule="auto" w:line="240"/>
              <w:rPr>
                <w:b/>
                <w:b/>
                <w:sz w:val="16"/>
                <w:szCs w:val="16"/>
              </w:rPr>
            </w:pPr>
            <w:r>
              <w:rPr>
                <w:b/>
                <w:sz w:val="16"/>
                <w:szCs w:val="16"/>
              </w:rPr>
              <w:t>EDSD</w:t>
            </w:r>
          </w:p>
          <w:p>
            <w:pPr>
              <w:pStyle w:val="Normal"/>
              <w:widowControl w:val="false"/>
              <w:spacing w:lineRule="auto" w:line="240"/>
              <w:rPr>
                <w:b/>
                <w:b/>
                <w:sz w:val="16"/>
                <w:szCs w:val="16"/>
              </w:rPr>
            </w:pPr>
            <w:r>
              <w:rPr>
                <w:b/>
                <w:sz w:val="16"/>
                <w:szCs w:val="16"/>
              </w:rPr>
              <w:t>PharmaCog</w:t>
            </w:r>
          </w:p>
          <w:p>
            <w:pPr>
              <w:pStyle w:val="Normal"/>
              <w:widowControl w:val="false"/>
              <w:spacing w:lineRule="auto" w:line="240"/>
              <w:rPr>
                <w:b/>
                <w:b/>
                <w:sz w:val="16"/>
                <w:szCs w:val="16"/>
              </w:rPr>
            </w:pPr>
            <w:r>
              <w:rPr>
                <w:b/>
                <w:sz w:val="16"/>
                <w:szCs w:val="16"/>
              </w:rPr>
              <w:t>PREVENT-AD</w:t>
            </w:r>
          </w:p>
          <w:p>
            <w:pPr>
              <w:pStyle w:val="Normal"/>
              <w:widowControl w:val="false"/>
              <w:spacing w:lineRule="auto" w:line="240"/>
              <w:rPr>
                <w:b/>
                <w:b/>
                <w:sz w:val="16"/>
                <w:szCs w:val="16"/>
              </w:rPr>
            </w:pPr>
            <w:r>
              <w:rPr>
                <w:b/>
                <w:sz w:val="16"/>
                <w:szCs w:val="16"/>
              </w:rPr>
              <w:t>NACC_ELISA</w:t>
            </w:r>
          </w:p>
          <w:p>
            <w:pPr>
              <w:pStyle w:val="Normal"/>
              <w:widowControl w:val="false"/>
              <w:spacing w:lineRule="auto" w:line="240"/>
              <w:rPr>
                <w:b/>
                <w:b/>
                <w:sz w:val="16"/>
                <w:szCs w:val="16"/>
              </w:rPr>
            </w:pPr>
            <w:r>
              <w:rPr>
                <w:b/>
                <w:sz w:val="16"/>
                <w:szCs w:val="16"/>
              </w:rPr>
              <w:t>EMIF_ELISA</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47.12 %</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21.49 %</w:t>
            </w:r>
          </w:p>
        </w:tc>
        <w:tc>
          <w:tcPr>
            <w:tcW w:w="233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31.96 %</w:t>
            </w:r>
          </w:p>
        </w:tc>
      </w:tr>
      <w:tr>
        <w:trPr/>
        <w:tc>
          <w:tcPr>
            <w:tcW w:w="234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NACC_xMAP</w:t>
            </w:r>
          </w:p>
          <w:p>
            <w:pPr>
              <w:pStyle w:val="Normal"/>
              <w:widowControl w:val="false"/>
              <w:spacing w:lineRule="auto" w:line="240"/>
              <w:rPr>
                <w:b/>
                <w:b/>
                <w:sz w:val="16"/>
                <w:szCs w:val="16"/>
              </w:rPr>
            </w:pPr>
            <w:r>
              <w:rPr>
                <w:b/>
                <w:sz w:val="16"/>
                <w:szCs w:val="16"/>
              </w:rPr>
              <w:t>EMIF_xMAP</w:t>
            </w:r>
          </w:p>
          <w:p>
            <w:pPr>
              <w:pStyle w:val="Normal"/>
              <w:widowControl w:val="false"/>
              <w:spacing w:lineRule="auto" w:line="240"/>
              <w:rPr>
                <w:b/>
                <w:b/>
                <w:sz w:val="16"/>
                <w:szCs w:val="16"/>
              </w:rPr>
            </w:pPr>
            <w:r>
              <w:rPr>
                <w:b/>
                <w:sz w:val="16"/>
                <w:szCs w:val="16"/>
              </w:rPr>
              <w:t>DOD-ADNI</w:t>
            </w:r>
          </w:p>
          <w:p>
            <w:pPr>
              <w:pStyle w:val="Normal"/>
              <w:widowControl w:val="false"/>
              <w:spacing w:lineRule="auto" w:line="240"/>
              <w:rPr>
                <w:b/>
                <w:b/>
                <w:sz w:val="16"/>
                <w:szCs w:val="16"/>
              </w:rPr>
            </w:pPr>
            <w:r>
              <w:rPr>
                <w:b/>
                <w:sz w:val="16"/>
                <w:szCs w:val="16"/>
              </w:rPr>
              <w:t>JADNI</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71.25 %</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51.23 %</w:t>
            </w:r>
          </w:p>
        </w:tc>
        <w:tc>
          <w:tcPr>
            <w:tcW w:w="233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66.85 %</w:t>
            </w:r>
          </w:p>
        </w:tc>
      </w:tr>
    </w:tbl>
    <w:p>
      <w:pPr>
        <w:pStyle w:val="Normal"/>
        <w:spacing w:before="0" w:after="200"/>
        <w:jc w:val="both"/>
        <w:rPr/>
      </w:pPr>
      <w:r>
        <w:rPr>
          <w:b/>
        </w:rPr>
        <w:t xml:space="preserve">Table S9: </w:t>
      </w:r>
      <w:r>
        <w:rPr/>
        <w:t>The relative changes of obtained thresholds across the cohort with the same employed assay for each biomarker.</w:t>
      </w:r>
    </w:p>
    <w:p>
      <w:pPr>
        <w:pStyle w:val="Normal"/>
        <w:spacing w:before="0" w:after="200"/>
        <w:jc w:val="both"/>
        <w:rPr/>
      </w:pPr>
      <w:r>
        <w:rPr/>
      </w:r>
    </w:p>
    <w:tbl>
      <w:tblPr>
        <w:tblStyle w:val="a8"/>
        <w:tblW w:w="9360"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1560"/>
        <w:gridCol w:w="1559"/>
        <w:gridCol w:w="1561"/>
        <w:gridCol w:w="1560"/>
        <w:gridCol w:w="1559"/>
        <w:gridCol w:w="1560"/>
      </w:tblGrid>
      <w:tr>
        <w:trPr>
          <w:trHeight w:val="447" w:hRule="atLeast"/>
        </w:trPr>
        <w:tc>
          <w:tcPr>
            <w:tcW w:w="1560" w:type="dxa"/>
            <w:vMerge w:val="restart"/>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jc w:val="center"/>
              <w:rPr>
                <w:b/>
                <w:b/>
                <w:sz w:val="16"/>
                <w:szCs w:val="16"/>
              </w:rPr>
            </w:pPr>
            <w:r>
              <w:rPr>
                <w:b/>
                <w:sz w:val="16"/>
                <w:szCs w:val="16"/>
              </w:rPr>
              <w:t>Groups</w:t>
            </w:r>
          </w:p>
        </w:tc>
        <w:tc>
          <w:tcPr>
            <w:tcW w:w="7799" w:type="dxa"/>
            <w:gridSpan w:val="5"/>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Method</w:t>
            </w:r>
          </w:p>
        </w:tc>
      </w:tr>
      <w:tr>
        <w:trPr>
          <w:trHeight w:val="420" w:hRule="atLeast"/>
        </w:trPr>
        <w:tc>
          <w:tcPr>
            <w:tcW w:w="1560" w:type="dxa"/>
            <w:vMerge w:val="continue"/>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rPr/>
            </w:pPr>
            <w:r>
              <w:rPr/>
            </w:r>
          </w:p>
        </w:tc>
        <w:tc>
          <w:tcPr>
            <w:tcW w:w="1559" w:type="dxa"/>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jc w:val="center"/>
              <w:rPr>
                <w:b/>
                <w:b/>
                <w:sz w:val="16"/>
                <w:szCs w:val="16"/>
              </w:rPr>
            </w:pPr>
            <w:r>
              <w:rPr>
                <w:b/>
                <w:sz w:val="16"/>
                <w:szCs w:val="16"/>
              </w:rPr>
              <w:t>GMM</w:t>
            </w:r>
          </w:p>
        </w:tc>
        <w:tc>
          <w:tcPr>
            <w:tcW w:w="1561" w:type="dxa"/>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jc w:val="center"/>
              <w:rPr>
                <w:b/>
                <w:b/>
                <w:sz w:val="16"/>
                <w:szCs w:val="16"/>
              </w:rPr>
            </w:pPr>
            <w:r>
              <w:rPr>
                <w:b/>
                <w:sz w:val="16"/>
                <w:szCs w:val="16"/>
              </w:rPr>
              <w:t>K-means</w:t>
            </w:r>
          </w:p>
        </w:tc>
        <w:tc>
          <w:tcPr>
            <w:tcW w:w="1560" w:type="dxa"/>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jc w:val="center"/>
              <w:rPr>
                <w:b/>
                <w:b/>
                <w:sz w:val="16"/>
                <w:szCs w:val="16"/>
              </w:rPr>
            </w:pPr>
            <w:r>
              <w:rPr>
                <w:b/>
                <w:sz w:val="16"/>
                <w:szCs w:val="16"/>
              </w:rPr>
              <w:t>Tertile</w:t>
            </w:r>
          </w:p>
        </w:tc>
        <w:tc>
          <w:tcPr>
            <w:tcW w:w="1559" w:type="dxa"/>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jc w:val="center"/>
              <w:rPr>
                <w:b/>
                <w:b/>
                <w:sz w:val="16"/>
                <w:szCs w:val="16"/>
              </w:rPr>
            </w:pPr>
            <w:r>
              <w:rPr>
                <w:b/>
                <w:sz w:val="16"/>
                <w:szCs w:val="16"/>
              </w:rPr>
              <w:t>ROC</w:t>
            </w:r>
          </w:p>
        </w:tc>
        <w:tc>
          <w:tcPr>
            <w:tcW w:w="1560" w:type="dxa"/>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jc w:val="center"/>
              <w:rPr>
                <w:b/>
                <w:b/>
                <w:sz w:val="16"/>
                <w:szCs w:val="16"/>
              </w:rPr>
            </w:pPr>
            <w:r>
              <w:rPr>
                <w:b/>
                <w:sz w:val="16"/>
                <w:szCs w:val="16"/>
              </w:rPr>
              <w:t>Mean ±2 SD</w:t>
            </w:r>
          </w:p>
        </w:tc>
      </w:tr>
      <w:tr>
        <w:trPr/>
        <w:tc>
          <w:tcPr>
            <w:tcW w:w="156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ADNI</w:t>
            </w:r>
          </w:p>
          <w:p>
            <w:pPr>
              <w:pStyle w:val="Normal"/>
              <w:widowControl w:val="false"/>
              <w:spacing w:lineRule="auto" w:line="240"/>
              <w:rPr>
                <w:b/>
                <w:b/>
                <w:sz w:val="16"/>
                <w:szCs w:val="16"/>
              </w:rPr>
            </w:pPr>
            <w:r>
              <w:rPr>
                <w:b/>
                <w:sz w:val="16"/>
                <w:szCs w:val="16"/>
              </w:rPr>
              <w:t>EPAD</w:t>
            </w:r>
          </w:p>
        </w:tc>
        <w:tc>
          <w:tcPr>
            <w:tcW w:w="155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16.56 %</w:t>
            </w:r>
          </w:p>
        </w:tc>
        <w:tc>
          <w:tcPr>
            <w:tcW w:w="156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19.1 %</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8.69 %</w:t>
            </w:r>
          </w:p>
        </w:tc>
        <w:tc>
          <w:tcPr>
            <w:tcW w:w="155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19.54 %</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4.8 %</w:t>
            </w:r>
          </w:p>
        </w:tc>
      </w:tr>
      <w:tr>
        <w:trPr/>
        <w:tc>
          <w:tcPr>
            <w:tcW w:w="156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AIBL</w:t>
            </w:r>
          </w:p>
          <w:p>
            <w:pPr>
              <w:pStyle w:val="Normal"/>
              <w:widowControl w:val="false"/>
              <w:spacing w:lineRule="auto" w:line="240"/>
              <w:rPr>
                <w:b/>
                <w:b/>
                <w:sz w:val="16"/>
                <w:szCs w:val="16"/>
              </w:rPr>
            </w:pPr>
            <w:r>
              <w:rPr>
                <w:b/>
                <w:sz w:val="16"/>
                <w:szCs w:val="16"/>
              </w:rPr>
              <w:t>ARWIBO</w:t>
            </w:r>
          </w:p>
          <w:p>
            <w:pPr>
              <w:pStyle w:val="Normal"/>
              <w:widowControl w:val="false"/>
              <w:spacing w:lineRule="auto" w:line="240"/>
              <w:rPr>
                <w:b/>
                <w:b/>
                <w:sz w:val="16"/>
                <w:szCs w:val="16"/>
              </w:rPr>
            </w:pPr>
            <w:r>
              <w:rPr>
                <w:b/>
                <w:sz w:val="16"/>
                <w:szCs w:val="16"/>
              </w:rPr>
              <w:t>EDSD</w:t>
            </w:r>
          </w:p>
          <w:p>
            <w:pPr>
              <w:pStyle w:val="Normal"/>
              <w:widowControl w:val="false"/>
              <w:spacing w:lineRule="auto" w:line="240"/>
              <w:rPr>
                <w:b/>
                <w:b/>
                <w:sz w:val="16"/>
                <w:szCs w:val="16"/>
              </w:rPr>
            </w:pPr>
            <w:r>
              <w:rPr>
                <w:b/>
                <w:sz w:val="16"/>
                <w:szCs w:val="16"/>
              </w:rPr>
              <w:t>PharmaCog</w:t>
            </w:r>
          </w:p>
          <w:p>
            <w:pPr>
              <w:pStyle w:val="Normal"/>
              <w:widowControl w:val="false"/>
              <w:spacing w:lineRule="auto" w:line="240"/>
              <w:rPr>
                <w:b/>
                <w:b/>
                <w:sz w:val="16"/>
                <w:szCs w:val="16"/>
              </w:rPr>
            </w:pPr>
            <w:r>
              <w:rPr>
                <w:b/>
                <w:sz w:val="16"/>
                <w:szCs w:val="16"/>
              </w:rPr>
              <w:t>PREVENT-AD</w:t>
            </w:r>
          </w:p>
          <w:p>
            <w:pPr>
              <w:pStyle w:val="Normal"/>
              <w:widowControl w:val="false"/>
              <w:spacing w:lineRule="auto" w:line="240"/>
              <w:rPr>
                <w:b/>
                <w:b/>
                <w:sz w:val="16"/>
                <w:szCs w:val="16"/>
              </w:rPr>
            </w:pPr>
            <w:r>
              <w:rPr>
                <w:b/>
                <w:sz w:val="16"/>
                <w:szCs w:val="16"/>
              </w:rPr>
              <w:t>NACC_ELISA</w:t>
            </w:r>
          </w:p>
          <w:p>
            <w:pPr>
              <w:pStyle w:val="Normal"/>
              <w:widowControl w:val="false"/>
              <w:spacing w:lineRule="auto" w:line="240"/>
              <w:rPr>
                <w:b/>
                <w:b/>
                <w:sz w:val="16"/>
                <w:szCs w:val="16"/>
              </w:rPr>
            </w:pPr>
            <w:r>
              <w:rPr>
                <w:b/>
                <w:sz w:val="16"/>
                <w:szCs w:val="16"/>
              </w:rPr>
              <w:t>EMIF_ELISA</w:t>
            </w:r>
          </w:p>
        </w:tc>
        <w:tc>
          <w:tcPr>
            <w:tcW w:w="155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40.99 %</w:t>
            </w:r>
          </w:p>
        </w:tc>
        <w:tc>
          <w:tcPr>
            <w:tcW w:w="156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49.12 %</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29.78 %</w:t>
            </w:r>
          </w:p>
        </w:tc>
        <w:tc>
          <w:tcPr>
            <w:tcW w:w="155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15.74 %</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31.99 %</w:t>
            </w:r>
          </w:p>
        </w:tc>
      </w:tr>
      <w:tr>
        <w:trPr/>
        <w:tc>
          <w:tcPr>
            <w:tcW w:w="156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NACC_xMAP</w:t>
            </w:r>
          </w:p>
          <w:p>
            <w:pPr>
              <w:pStyle w:val="Normal"/>
              <w:widowControl w:val="false"/>
              <w:spacing w:lineRule="auto" w:line="240"/>
              <w:rPr>
                <w:b/>
                <w:b/>
                <w:sz w:val="16"/>
                <w:szCs w:val="16"/>
              </w:rPr>
            </w:pPr>
            <w:r>
              <w:rPr>
                <w:b/>
                <w:sz w:val="16"/>
                <w:szCs w:val="16"/>
              </w:rPr>
              <w:t>EMIF_xMAP</w:t>
            </w:r>
          </w:p>
          <w:p>
            <w:pPr>
              <w:pStyle w:val="Normal"/>
              <w:widowControl w:val="false"/>
              <w:spacing w:lineRule="auto" w:line="240"/>
              <w:rPr>
                <w:b/>
                <w:b/>
                <w:sz w:val="16"/>
                <w:szCs w:val="16"/>
              </w:rPr>
            </w:pPr>
            <w:r>
              <w:rPr>
                <w:b/>
                <w:sz w:val="16"/>
                <w:szCs w:val="16"/>
              </w:rPr>
              <w:t>DOD-ADNI</w:t>
            </w:r>
          </w:p>
          <w:p>
            <w:pPr>
              <w:pStyle w:val="Normal"/>
              <w:widowControl w:val="false"/>
              <w:spacing w:lineRule="auto" w:line="240"/>
              <w:rPr>
                <w:b/>
                <w:b/>
                <w:sz w:val="16"/>
                <w:szCs w:val="16"/>
              </w:rPr>
            </w:pPr>
            <w:r>
              <w:rPr>
                <w:b/>
                <w:sz w:val="16"/>
                <w:szCs w:val="16"/>
              </w:rPr>
              <w:t>JADNI</w:t>
            </w:r>
          </w:p>
        </w:tc>
        <w:tc>
          <w:tcPr>
            <w:tcW w:w="155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67.55 %</w:t>
            </w:r>
          </w:p>
        </w:tc>
        <w:tc>
          <w:tcPr>
            <w:tcW w:w="156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71.26 %</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66.4 %</w:t>
            </w:r>
          </w:p>
        </w:tc>
        <w:tc>
          <w:tcPr>
            <w:tcW w:w="155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38.39 %</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sz w:val="16"/>
                <w:szCs w:val="16"/>
              </w:rPr>
            </w:pPr>
            <w:r>
              <w:rPr>
                <w:sz w:val="16"/>
                <w:szCs w:val="16"/>
              </w:rPr>
              <w:t>71.95 %</w:t>
            </w:r>
          </w:p>
        </w:tc>
      </w:tr>
    </w:tbl>
    <w:p>
      <w:pPr>
        <w:pStyle w:val="Normal"/>
        <w:jc w:val="both"/>
        <w:rPr/>
      </w:pPr>
      <w:r>
        <w:rPr>
          <w:b/>
        </w:rPr>
        <w:t xml:space="preserve">Table S10: </w:t>
      </w:r>
      <w:r>
        <w:rPr/>
        <w:t>The relative changes of obtained thresholds across the cohort with the same employed assay within each method.</w:t>
      </w:r>
    </w:p>
    <w:p>
      <w:pPr>
        <w:pStyle w:val="Normal"/>
        <w:spacing w:before="200" w:after="0"/>
        <w:jc w:val="both"/>
        <w:rPr/>
      </w:pPr>
      <w:r>
        <w:rPr/>
      </w:r>
    </w:p>
    <w:tbl>
      <w:tblPr>
        <w:tblStyle w:val="a9"/>
        <w:tblW w:w="9795"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1515"/>
        <w:gridCol w:w="1034"/>
        <w:gridCol w:w="1034"/>
        <w:gridCol w:w="1037"/>
        <w:gridCol w:w="1034"/>
        <w:gridCol w:w="1035"/>
        <w:gridCol w:w="1036"/>
        <w:gridCol w:w="1034"/>
        <w:gridCol w:w="1035"/>
      </w:tblGrid>
      <w:tr>
        <w:trPr>
          <w:trHeight w:val="400" w:hRule="atLeast"/>
        </w:trPr>
        <w:tc>
          <w:tcPr>
            <w:tcW w:w="1515" w:type="dxa"/>
            <w:vMerge w:val="restart"/>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r>
          </w:p>
          <w:p>
            <w:pPr>
              <w:pStyle w:val="Normal"/>
              <w:widowControl w:val="false"/>
              <w:spacing w:lineRule="auto" w:line="240"/>
              <w:jc w:val="center"/>
              <w:rPr>
                <w:b/>
                <w:b/>
                <w:sz w:val="16"/>
                <w:szCs w:val="16"/>
              </w:rPr>
            </w:pPr>
            <w:r>
              <w:rPr>
                <w:b/>
                <w:sz w:val="16"/>
                <w:szCs w:val="16"/>
              </w:rPr>
              <w:t>Cohort</w:t>
            </w:r>
          </w:p>
        </w:tc>
        <w:tc>
          <w:tcPr>
            <w:tcW w:w="8279" w:type="dxa"/>
            <w:gridSpan w:val="8"/>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 Biomarker Profile</w:t>
            </w:r>
          </w:p>
        </w:tc>
      </w:tr>
      <w:tr>
        <w:trPr>
          <w:trHeight w:val="400" w:hRule="atLeast"/>
        </w:trPr>
        <w:tc>
          <w:tcPr>
            <w:tcW w:w="1515" w:type="dxa"/>
            <w:vMerge w:val="continue"/>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20"/>
                <w:szCs w:val="20"/>
              </w:rPr>
            </w:pPr>
            <w:r>
              <w:rPr>
                <w:b/>
                <w:sz w:val="20"/>
                <w:szCs w:val="20"/>
              </w:rPr>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6"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ADNI</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386</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21</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15</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32</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528</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222</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EPAD</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671</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54</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26</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834</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168</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AIBL</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17</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28</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ARWIBO</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93</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45</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20</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EDSD</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20</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35</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PREVENT-AD</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26</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PharmaCog</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46</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22</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NACC</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168</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193</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51</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64</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EMIF</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293</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16</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40</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422</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62</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163</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DOD-ADNI</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46</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50</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JADNI</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55</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20</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65</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51</w:t>
            </w:r>
          </w:p>
        </w:tc>
      </w:tr>
    </w:tbl>
    <w:p>
      <w:pPr>
        <w:pStyle w:val="Normal"/>
        <w:jc w:val="both"/>
        <w:rPr/>
      </w:pPr>
      <w:r>
        <w:rPr>
          <w:b/>
        </w:rPr>
        <w:t>Table S11:</w:t>
      </w:r>
      <w:r>
        <w:rPr/>
        <w:t xml:space="preserve"> The number of categorized participants in each ATN profile using thresholds that were obtained by GMM methodology.</w:t>
      </w:r>
    </w:p>
    <w:p>
      <w:pPr>
        <w:pStyle w:val="Normal"/>
        <w:spacing w:before="200" w:after="0"/>
        <w:rPr>
          <w:sz w:val="24"/>
          <w:szCs w:val="24"/>
        </w:rPr>
      </w:pPr>
      <w:r>
        <w:rPr>
          <w:sz w:val="24"/>
          <w:szCs w:val="24"/>
        </w:rPr>
      </w:r>
    </w:p>
    <w:tbl>
      <w:tblPr>
        <w:tblStyle w:val="aa"/>
        <w:tblW w:w="9795"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1515"/>
        <w:gridCol w:w="1034"/>
        <w:gridCol w:w="1034"/>
        <w:gridCol w:w="1037"/>
        <w:gridCol w:w="1034"/>
        <w:gridCol w:w="1035"/>
        <w:gridCol w:w="1036"/>
        <w:gridCol w:w="1034"/>
        <w:gridCol w:w="1035"/>
      </w:tblGrid>
      <w:tr>
        <w:trPr>
          <w:trHeight w:val="400" w:hRule="atLeast"/>
        </w:trPr>
        <w:tc>
          <w:tcPr>
            <w:tcW w:w="1515" w:type="dxa"/>
            <w:vMerge w:val="restart"/>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r>
          </w:p>
          <w:p>
            <w:pPr>
              <w:pStyle w:val="Normal"/>
              <w:widowControl w:val="false"/>
              <w:spacing w:lineRule="auto" w:line="240"/>
              <w:jc w:val="center"/>
              <w:rPr>
                <w:b/>
                <w:b/>
                <w:sz w:val="16"/>
                <w:szCs w:val="16"/>
              </w:rPr>
            </w:pPr>
            <w:r>
              <w:rPr>
                <w:b/>
                <w:sz w:val="16"/>
                <w:szCs w:val="16"/>
              </w:rPr>
              <w:t>Cohort</w:t>
            </w:r>
          </w:p>
        </w:tc>
        <w:tc>
          <w:tcPr>
            <w:tcW w:w="8279" w:type="dxa"/>
            <w:gridSpan w:val="8"/>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 Biomarker Profile</w:t>
            </w:r>
          </w:p>
        </w:tc>
      </w:tr>
      <w:tr>
        <w:trPr>
          <w:trHeight w:val="400" w:hRule="atLeast"/>
        </w:trPr>
        <w:tc>
          <w:tcPr>
            <w:tcW w:w="1515" w:type="dxa"/>
            <w:vMerge w:val="continue"/>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20"/>
                <w:szCs w:val="20"/>
              </w:rPr>
            </w:pPr>
            <w:r>
              <w:rPr>
                <w:b/>
                <w:sz w:val="20"/>
                <w:szCs w:val="20"/>
              </w:rPr>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6"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ADNI</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337</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76</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27</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27</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347</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388</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EPAD</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608</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301</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55</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24</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460</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315</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AIBL</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17</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24</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ARWIBO</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61</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27</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65</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49</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EDSD</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18</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PREVENT-AD</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30</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13</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PharmaCog</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40</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41</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43</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NACC</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144</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23</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13</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24</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28</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123</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47</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104</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EMIF</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265</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42</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16</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35</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64</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283</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37</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272</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DOD-ADNI</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36</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18</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42</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w:t>
            </w:r>
          </w:p>
        </w:tc>
      </w:tr>
      <w:tr>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JADNI</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56</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29</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67</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42</w:t>
            </w:r>
          </w:p>
        </w:tc>
      </w:tr>
    </w:tbl>
    <w:p>
      <w:pPr>
        <w:pStyle w:val="Normal"/>
        <w:jc w:val="both"/>
        <w:rPr/>
      </w:pPr>
      <w:r>
        <w:rPr>
          <w:b/>
        </w:rPr>
        <w:t>Table S12:</w:t>
      </w:r>
      <w:r>
        <w:rPr/>
        <w:t xml:space="preserve"> The number of categorized participants in each ATN profile using thresholds that were obtained by the K-means methodology.</w:t>
      </w:r>
    </w:p>
    <w:p>
      <w:pPr>
        <w:pStyle w:val="Normal"/>
        <w:rPr>
          <w:sz w:val="24"/>
          <w:szCs w:val="24"/>
        </w:rPr>
      </w:pPr>
      <w:r>
        <w:rPr>
          <w:sz w:val="24"/>
          <w:szCs w:val="24"/>
        </w:rPr>
      </w:r>
    </w:p>
    <w:tbl>
      <w:tblPr>
        <w:tblStyle w:val="ab"/>
        <w:tblW w:w="9795"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1515"/>
        <w:gridCol w:w="1034"/>
        <w:gridCol w:w="1034"/>
        <w:gridCol w:w="1037"/>
        <w:gridCol w:w="1034"/>
        <w:gridCol w:w="1035"/>
        <w:gridCol w:w="1036"/>
        <w:gridCol w:w="1034"/>
        <w:gridCol w:w="1035"/>
      </w:tblGrid>
      <w:tr>
        <w:trPr>
          <w:trHeight w:val="437" w:hRule="atLeast"/>
        </w:trPr>
        <w:tc>
          <w:tcPr>
            <w:tcW w:w="1515" w:type="dxa"/>
            <w:vMerge w:val="restart"/>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r>
          </w:p>
          <w:p>
            <w:pPr>
              <w:pStyle w:val="Normal"/>
              <w:widowControl w:val="false"/>
              <w:spacing w:lineRule="auto" w:line="240"/>
              <w:jc w:val="center"/>
              <w:rPr>
                <w:b/>
                <w:b/>
                <w:sz w:val="16"/>
                <w:szCs w:val="16"/>
              </w:rPr>
            </w:pPr>
            <w:r>
              <w:rPr>
                <w:b/>
                <w:sz w:val="16"/>
                <w:szCs w:val="16"/>
              </w:rPr>
              <w:t>Cohort</w:t>
            </w:r>
          </w:p>
        </w:tc>
        <w:tc>
          <w:tcPr>
            <w:tcW w:w="8279" w:type="dxa"/>
            <w:gridSpan w:val="8"/>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 Biomarker Profile</w:t>
            </w:r>
          </w:p>
        </w:tc>
      </w:tr>
      <w:tr>
        <w:trPr>
          <w:trHeight w:val="437" w:hRule="atLeast"/>
        </w:trPr>
        <w:tc>
          <w:tcPr>
            <w:tcW w:w="1515" w:type="dxa"/>
            <w:vMerge w:val="continue"/>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20"/>
                <w:szCs w:val="20"/>
              </w:rPr>
            </w:pPr>
            <w:r>
              <w:rPr>
                <w:b/>
                <w:sz w:val="20"/>
                <w:szCs w:val="20"/>
              </w:rPr>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6"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ADNI</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341</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159</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37</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226</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423</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EPAD</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813</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309</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41</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34</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320</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240</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PREVENT-AD</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52</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29</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31</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NACC</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56</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25</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88</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53</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146</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EMIF</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207</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220</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63</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29</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13</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118</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46</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318</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DOD-ADNI</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46</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27</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24</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JADNI</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32</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19</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102</w:t>
            </w:r>
          </w:p>
        </w:tc>
      </w:tr>
    </w:tbl>
    <w:p>
      <w:pPr>
        <w:pStyle w:val="Normal"/>
        <w:jc w:val="both"/>
        <w:rPr/>
      </w:pPr>
      <w:r>
        <w:rPr>
          <w:b/>
        </w:rPr>
        <w:t>Table S13:</w:t>
      </w:r>
      <w:r>
        <w:rPr/>
        <w:t xml:space="preserve"> The number of categorized participants in each ATN profile using thresholds that were obtained by tertile methodology.</w:t>
      </w:r>
    </w:p>
    <w:p>
      <w:pPr>
        <w:pStyle w:val="Normal"/>
        <w:rPr>
          <w:sz w:val="24"/>
          <w:szCs w:val="24"/>
        </w:rPr>
      </w:pPr>
      <w:r>
        <w:rPr>
          <w:sz w:val="24"/>
          <w:szCs w:val="24"/>
        </w:rPr>
      </w:r>
    </w:p>
    <w:tbl>
      <w:tblPr>
        <w:tblStyle w:val="ac"/>
        <w:tblW w:w="9795"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1515"/>
        <w:gridCol w:w="1034"/>
        <w:gridCol w:w="1034"/>
        <w:gridCol w:w="1037"/>
        <w:gridCol w:w="1034"/>
        <w:gridCol w:w="1035"/>
        <w:gridCol w:w="1036"/>
        <w:gridCol w:w="1034"/>
        <w:gridCol w:w="1035"/>
      </w:tblGrid>
      <w:tr>
        <w:trPr>
          <w:trHeight w:val="437" w:hRule="atLeast"/>
        </w:trPr>
        <w:tc>
          <w:tcPr>
            <w:tcW w:w="1515" w:type="dxa"/>
            <w:vMerge w:val="restart"/>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r>
          </w:p>
          <w:p>
            <w:pPr>
              <w:pStyle w:val="Normal"/>
              <w:widowControl w:val="false"/>
              <w:spacing w:lineRule="auto" w:line="240"/>
              <w:jc w:val="center"/>
              <w:rPr>
                <w:b/>
                <w:b/>
                <w:sz w:val="16"/>
                <w:szCs w:val="16"/>
              </w:rPr>
            </w:pPr>
            <w:r>
              <w:rPr>
                <w:b/>
                <w:sz w:val="16"/>
                <w:szCs w:val="16"/>
              </w:rPr>
              <w:t>Cohort</w:t>
            </w:r>
          </w:p>
        </w:tc>
        <w:tc>
          <w:tcPr>
            <w:tcW w:w="8279" w:type="dxa"/>
            <w:gridSpan w:val="8"/>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 Biomarker Profile</w:t>
            </w:r>
          </w:p>
        </w:tc>
      </w:tr>
      <w:tr>
        <w:trPr>
          <w:trHeight w:val="437" w:hRule="atLeast"/>
        </w:trPr>
        <w:tc>
          <w:tcPr>
            <w:tcW w:w="1515" w:type="dxa"/>
            <w:vMerge w:val="continue"/>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20"/>
                <w:szCs w:val="20"/>
              </w:rPr>
            </w:pPr>
            <w:r>
              <w:rPr>
                <w:b/>
                <w:sz w:val="20"/>
                <w:szCs w:val="20"/>
              </w:rPr>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6"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ADNI</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379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170</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17</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37</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217</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384</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EPAD</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848</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502</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95</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13</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147</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164</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NACC</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182</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40</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32</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65</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67</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102</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EMIF</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294</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148</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53</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22</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148</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27</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283</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JADNI</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61</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19</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16</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77</w:t>
            </w:r>
          </w:p>
        </w:tc>
      </w:tr>
    </w:tbl>
    <w:p>
      <w:pPr>
        <w:pStyle w:val="Normal"/>
        <w:spacing w:lineRule="auto" w:line="240"/>
        <w:jc w:val="both"/>
        <w:rPr>
          <w:sz w:val="24"/>
          <w:szCs w:val="24"/>
        </w:rPr>
      </w:pPr>
      <w:r>
        <w:rPr>
          <w:b/>
        </w:rPr>
        <w:t>Table S14:</w:t>
      </w:r>
      <w:r>
        <w:rPr/>
        <w:t xml:space="preserve"> The number of categorized participants in each ATN profile using thresholds that were obtained by ROC (Youdnen’s index) methodology.</w:t>
      </w:r>
    </w:p>
    <w:p>
      <w:pPr>
        <w:pStyle w:val="Normal"/>
        <w:rPr>
          <w:sz w:val="24"/>
          <w:szCs w:val="24"/>
        </w:rPr>
      </w:pPr>
      <w:r>
        <w:rPr>
          <w:sz w:val="24"/>
          <w:szCs w:val="24"/>
        </w:rPr>
      </w:r>
    </w:p>
    <w:tbl>
      <w:tblPr>
        <w:tblStyle w:val="ad"/>
        <w:tblW w:w="9795"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1515"/>
        <w:gridCol w:w="1034"/>
        <w:gridCol w:w="1034"/>
        <w:gridCol w:w="1037"/>
        <w:gridCol w:w="1034"/>
        <w:gridCol w:w="1035"/>
        <w:gridCol w:w="1036"/>
        <w:gridCol w:w="1034"/>
        <w:gridCol w:w="1035"/>
      </w:tblGrid>
      <w:tr>
        <w:trPr>
          <w:trHeight w:val="437" w:hRule="atLeast"/>
        </w:trPr>
        <w:tc>
          <w:tcPr>
            <w:tcW w:w="1515" w:type="dxa"/>
            <w:vMerge w:val="restart"/>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r>
          </w:p>
          <w:p>
            <w:pPr>
              <w:pStyle w:val="Normal"/>
              <w:widowControl w:val="false"/>
              <w:spacing w:lineRule="auto" w:line="240"/>
              <w:jc w:val="center"/>
              <w:rPr>
                <w:b/>
                <w:b/>
                <w:sz w:val="16"/>
                <w:szCs w:val="16"/>
              </w:rPr>
            </w:pPr>
            <w:r>
              <w:rPr>
                <w:b/>
                <w:sz w:val="16"/>
                <w:szCs w:val="16"/>
              </w:rPr>
              <w:t>Cohort</w:t>
            </w:r>
          </w:p>
        </w:tc>
        <w:tc>
          <w:tcPr>
            <w:tcW w:w="8279" w:type="dxa"/>
            <w:gridSpan w:val="8"/>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 Biomarker Profile</w:t>
            </w:r>
          </w:p>
        </w:tc>
      </w:tr>
      <w:tr>
        <w:trPr>
          <w:trHeight w:val="437" w:hRule="atLeast"/>
        </w:trPr>
        <w:tc>
          <w:tcPr>
            <w:tcW w:w="1515" w:type="dxa"/>
            <w:vMerge w:val="continue"/>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20"/>
                <w:szCs w:val="20"/>
              </w:rPr>
            </w:pPr>
            <w:r>
              <w:rPr>
                <w:b/>
                <w:sz w:val="20"/>
                <w:szCs w:val="20"/>
              </w:rPr>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7"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6"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103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ADNI</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989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154</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33</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23</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EPAD</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1663</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66</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15</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21</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PREVENT-AD</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123</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NACC</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385</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35</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43</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13</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17</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9</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EMIF</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742</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117</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70</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33</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31</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15</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DOD-ADNI</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106</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r>
      <w:tr>
        <w:trPr>
          <w:trHeight w:val="437" w:hRule="atLeast"/>
        </w:trPr>
        <w:tc>
          <w:tcPr>
            <w:tcW w:w="151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sz w:val="16"/>
                <w:szCs w:val="16"/>
              </w:rPr>
            </w:pPr>
            <w:r>
              <w:rPr>
                <w:b/>
                <w:sz w:val="16"/>
                <w:szCs w:val="16"/>
              </w:rPr>
              <w:t>JADNI</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119</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48</w:t>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8</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w:t>
            </w:r>
          </w:p>
        </w:tc>
        <w:tc>
          <w:tcPr>
            <w:tcW w:w="1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10</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1</w:t>
            </w:r>
          </w:p>
        </w:tc>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w:t>
            </w:r>
          </w:p>
        </w:tc>
      </w:tr>
    </w:tbl>
    <w:p>
      <w:pPr>
        <w:pStyle w:val="Normal"/>
        <w:spacing w:lineRule="auto" w:line="240"/>
        <w:jc w:val="both"/>
        <w:rPr/>
      </w:pPr>
      <w:r>
        <w:rPr>
          <w:b/>
        </w:rPr>
        <w:t>Table S15:</w:t>
      </w:r>
      <w:r>
        <w:rPr/>
        <w:t xml:space="preserve"> The number of categorized participants in each ATN profile using thresholds that were obtained by mean ±2 SD methodology.</w:t>
      </w:r>
    </w:p>
    <w:p>
      <w:pPr>
        <w:pStyle w:val="Normal"/>
        <w:spacing w:lineRule="auto" w:line="240"/>
        <w:jc w:val="both"/>
        <w:rPr/>
      </w:pPr>
      <w:r>
        <w:rPr/>
      </w:r>
    </w:p>
    <w:tbl>
      <w:tblPr>
        <w:tblStyle w:val="ae"/>
        <w:tblW w:w="9222" w:type="dxa"/>
        <w:jc w:val="center"/>
        <w:tblInd w:w="0" w:type="dxa"/>
        <w:tblLayout w:type="fixed"/>
        <w:tblCellMar>
          <w:top w:w="0" w:type="dxa"/>
          <w:left w:w="108" w:type="dxa"/>
          <w:bottom w:w="0" w:type="dxa"/>
          <w:right w:w="108" w:type="dxa"/>
        </w:tblCellMar>
        <w:tblLook w:val="0600" w:noHBand="1" w:noVBand="1" w:firstColumn="0" w:lastRow="0" w:lastColumn="0" w:firstRow="0"/>
      </w:tblPr>
      <w:tblGrid>
        <w:gridCol w:w="1198"/>
        <w:gridCol w:w="1004"/>
        <w:gridCol w:w="1001"/>
        <w:gridCol w:w="1004"/>
        <w:gridCol w:w="1003"/>
        <w:gridCol w:w="1002"/>
        <w:gridCol w:w="1005"/>
        <w:gridCol w:w="1001"/>
        <w:gridCol w:w="1003"/>
      </w:tblGrid>
      <w:tr>
        <w:trPr>
          <w:trHeight w:val="440" w:hRule="atLeast"/>
        </w:trPr>
        <w:tc>
          <w:tcPr>
            <w:tcW w:w="1198" w:type="dxa"/>
            <w:vMerge w:val="restart"/>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r>
          </w:p>
          <w:p>
            <w:pPr>
              <w:pStyle w:val="Normal"/>
              <w:widowControl w:val="false"/>
              <w:spacing w:lineRule="auto" w:line="240"/>
              <w:jc w:val="center"/>
              <w:rPr>
                <w:b/>
                <w:b/>
                <w:sz w:val="16"/>
                <w:szCs w:val="16"/>
              </w:rPr>
            </w:pPr>
            <w:r>
              <w:rPr>
                <w:b/>
                <w:sz w:val="16"/>
                <w:szCs w:val="16"/>
              </w:rPr>
              <w:t>Cohorts</w:t>
            </w:r>
          </w:p>
        </w:tc>
        <w:tc>
          <w:tcPr>
            <w:tcW w:w="8023" w:type="dxa"/>
            <w:gridSpan w:val="8"/>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GMM</w:t>
            </w:r>
          </w:p>
        </w:tc>
      </w:tr>
      <w:tr>
        <w:trPr>
          <w:trHeight w:val="440" w:hRule="atLeast"/>
        </w:trPr>
        <w:tc>
          <w:tcPr>
            <w:tcW w:w="1198" w:type="dxa"/>
            <w:vMerge w:val="continue"/>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rPr>
                <w:b/>
                <w:b/>
                <w:sz w:val="24"/>
                <w:szCs w:val="24"/>
              </w:rPr>
            </w:pPr>
            <w:r>
              <w:rPr>
                <w:b/>
                <w:sz w:val="24"/>
                <w:szCs w:val="24"/>
              </w:rPr>
            </w:r>
          </w:p>
        </w:tc>
        <w:tc>
          <w:tcPr>
            <w:tcW w:w="1004"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A-T-N-</w:t>
            </w:r>
          </w:p>
        </w:tc>
        <w:tc>
          <w:tcPr>
            <w:tcW w:w="1001"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A-T+N+</w:t>
            </w:r>
          </w:p>
        </w:tc>
        <w:tc>
          <w:tcPr>
            <w:tcW w:w="1004"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A-T-N+</w:t>
            </w:r>
          </w:p>
        </w:tc>
        <w:tc>
          <w:tcPr>
            <w:tcW w:w="1003"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A+T+N-</w:t>
            </w:r>
          </w:p>
        </w:tc>
        <w:tc>
          <w:tcPr>
            <w:tcW w:w="1002"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A+T-N-</w:t>
            </w:r>
          </w:p>
        </w:tc>
        <w:tc>
          <w:tcPr>
            <w:tcW w:w="1005"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A+T-N+</w:t>
            </w:r>
          </w:p>
        </w:tc>
        <w:tc>
          <w:tcPr>
            <w:tcW w:w="1001"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A+T+N+</w:t>
            </w:r>
          </w:p>
        </w:tc>
        <w:tc>
          <w:tcPr>
            <w:tcW w:w="1003"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Total</w:t>
            </w:r>
          </w:p>
        </w:tc>
      </w:tr>
      <w:tr>
        <w:trPr/>
        <w:tc>
          <w:tcPr>
            <w:tcW w:w="1198"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ADNI</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263</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16</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7</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17</w:t>
            </w:r>
          </w:p>
        </w:tc>
        <w:tc>
          <w:tcPr>
            <w:tcW w:w="1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307</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7</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119</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736</w:t>
            </w:r>
          </w:p>
        </w:tc>
      </w:tr>
      <w:tr>
        <w:trPr/>
        <w:tc>
          <w:tcPr>
            <w:tcW w:w="1198"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EDSD</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12</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0</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4</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w:t>
            </w:r>
          </w:p>
        </w:tc>
        <w:tc>
          <w:tcPr>
            <w:tcW w:w="1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26</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9</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10</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62</w:t>
            </w:r>
          </w:p>
        </w:tc>
      </w:tr>
      <w:tr>
        <w:trPr/>
        <w:tc>
          <w:tcPr>
            <w:tcW w:w="1198"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ARWIBO</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24</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5</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w:t>
            </w:r>
          </w:p>
        </w:tc>
        <w:tc>
          <w:tcPr>
            <w:tcW w:w="1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29</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16</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11</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89</w:t>
            </w:r>
          </w:p>
        </w:tc>
      </w:tr>
      <w:tr>
        <w:trPr/>
        <w:tc>
          <w:tcPr>
            <w:tcW w:w="1198"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NACC</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75</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7</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w:t>
            </w:r>
          </w:p>
        </w:tc>
        <w:tc>
          <w:tcPr>
            <w:tcW w:w="1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62</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27</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17</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191</w:t>
            </w:r>
          </w:p>
        </w:tc>
      </w:tr>
      <w:tr>
        <w:trPr/>
        <w:tc>
          <w:tcPr>
            <w:tcW w:w="1198"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JADNI</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52</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0</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17</w:t>
            </w:r>
          </w:p>
        </w:tc>
        <w:tc>
          <w:tcPr>
            <w:tcW w:w="1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63</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5</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49</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187</w:t>
            </w:r>
          </w:p>
        </w:tc>
      </w:tr>
      <w:tr>
        <w:trPr/>
        <w:tc>
          <w:tcPr>
            <w:tcW w:w="1198"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DOD-ADNI</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28</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4</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0</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0</w:t>
            </w:r>
          </w:p>
        </w:tc>
        <w:tc>
          <w:tcPr>
            <w:tcW w:w="1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34</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0</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4</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70</w:t>
            </w:r>
          </w:p>
        </w:tc>
      </w:tr>
      <w:tr>
        <w:trPr/>
        <w:tc>
          <w:tcPr>
            <w:tcW w:w="1198"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PharmaCog</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46</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w:t>
            </w:r>
          </w:p>
        </w:tc>
        <w:tc>
          <w:tcPr>
            <w:tcW w:w="1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67</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3</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22</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143</w:t>
            </w:r>
          </w:p>
        </w:tc>
      </w:tr>
      <w:tr>
        <w:trPr/>
        <w:tc>
          <w:tcPr>
            <w:tcW w:w="1198"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Total</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500</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25</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26</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40</w:t>
            </w:r>
          </w:p>
        </w:tc>
        <w:tc>
          <w:tcPr>
            <w:tcW w:w="1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588</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67</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232</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1478</w:t>
            </w:r>
          </w:p>
        </w:tc>
      </w:tr>
    </w:tbl>
    <w:p>
      <w:pPr>
        <w:pStyle w:val="Normal"/>
        <w:spacing w:lineRule="auto" w:line="240" w:before="0" w:after="200"/>
        <w:jc w:val="both"/>
        <w:rPr/>
      </w:pPr>
      <w:r>
        <w:rPr>
          <w:b/>
        </w:rPr>
        <w:t xml:space="preserve">Table S16: </w:t>
      </w:r>
      <w:r>
        <w:rPr>
          <w:color w:val="000000"/>
        </w:rPr>
        <w:t>The number of participants with available MRI measurements, MMSE, and APOE ε4 status included in the ATN-based clustering analysis in each cohort using GMM thresholds.</w:t>
      </w:r>
    </w:p>
    <w:p>
      <w:pPr>
        <w:pStyle w:val="Normal"/>
        <w:widowControl w:val="false"/>
        <w:spacing w:lineRule="auto" w:line="240" w:before="0" w:after="200"/>
        <w:jc w:val="both"/>
        <w:rPr/>
      </w:pPr>
      <w:r>
        <w:rPr/>
      </w:r>
    </w:p>
    <w:tbl>
      <w:tblPr>
        <w:tblStyle w:val="af"/>
        <w:tblW w:w="9222" w:type="dxa"/>
        <w:jc w:val="center"/>
        <w:tblInd w:w="0" w:type="dxa"/>
        <w:tblLayout w:type="fixed"/>
        <w:tblCellMar>
          <w:top w:w="0" w:type="dxa"/>
          <w:left w:w="108" w:type="dxa"/>
          <w:bottom w:w="0" w:type="dxa"/>
          <w:right w:w="108" w:type="dxa"/>
        </w:tblCellMar>
        <w:tblLook w:val="0600" w:noHBand="1" w:noVBand="1" w:firstColumn="0" w:lastRow="0" w:lastColumn="0" w:firstRow="0"/>
      </w:tblPr>
      <w:tblGrid>
        <w:gridCol w:w="1198"/>
        <w:gridCol w:w="1004"/>
        <w:gridCol w:w="1001"/>
        <w:gridCol w:w="1004"/>
        <w:gridCol w:w="1003"/>
        <w:gridCol w:w="1002"/>
        <w:gridCol w:w="1005"/>
        <w:gridCol w:w="1001"/>
        <w:gridCol w:w="1003"/>
      </w:tblGrid>
      <w:tr>
        <w:trPr>
          <w:trHeight w:val="440" w:hRule="atLeast"/>
        </w:trPr>
        <w:tc>
          <w:tcPr>
            <w:tcW w:w="1198" w:type="dxa"/>
            <w:vMerge w:val="restart"/>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r>
          </w:p>
          <w:p>
            <w:pPr>
              <w:pStyle w:val="Normal"/>
              <w:widowControl w:val="false"/>
              <w:spacing w:lineRule="auto" w:line="240"/>
              <w:jc w:val="center"/>
              <w:rPr>
                <w:b/>
                <w:b/>
                <w:sz w:val="16"/>
                <w:szCs w:val="16"/>
              </w:rPr>
            </w:pPr>
            <w:r>
              <w:rPr>
                <w:b/>
                <w:sz w:val="16"/>
                <w:szCs w:val="16"/>
              </w:rPr>
              <w:t>Cohorts</w:t>
            </w:r>
          </w:p>
        </w:tc>
        <w:tc>
          <w:tcPr>
            <w:tcW w:w="8023" w:type="dxa"/>
            <w:gridSpan w:val="8"/>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K-means</w:t>
            </w:r>
          </w:p>
        </w:tc>
      </w:tr>
      <w:tr>
        <w:trPr>
          <w:trHeight w:val="440" w:hRule="atLeast"/>
        </w:trPr>
        <w:tc>
          <w:tcPr>
            <w:tcW w:w="1198" w:type="dxa"/>
            <w:vMerge w:val="continue"/>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rPr>
                <w:b/>
                <w:b/>
                <w:sz w:val="24"/>
                <w:szCs w:val="24"/>
              </w:rPr>
            </w:pPr>
            <w:r>
              <w:rPr>
                <w:b/>
                <w:sz w:val="24"/>
                <w:szCs w:val="24"/>
              </w:rPr>
            </w:r>
          </w:p>
        </w:tc>
        <w:tc>
          <w:tcPr>
            <w:tcW w:w="1004"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A-T-N-</w:t>
            </w:r>
          </w:p>
        </w:tc>
        <w:tc>
          <w:tcPr>
            <w:tcW w:w="1001"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A-T+N+</w:t>
            </w:r>
          </w:p>
        </w:tc>
        <w:tc>
          <w:tcPr>
            <w:tcW w:w="1004"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A-T-N+</w:t>
            </w:r>
          </w:p>
        </w:tc>
        <w:tc>
          <w:tcPr>
            <w:tcW w:w="1003"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A+T+N-</w:t>
            </w:r>
          </w:p>
        </w:tc>
        <w:tc>
          <w:tcPr>
            <w:tcW w:w="1002"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A+T-N-</w:t>
            </w:r>
          </w:p>
        </w:tc>
        <w:tc>
          <w:tcPr>
            <w:tcW w:w="1005"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A+T-N+</w:t>
            </w:r>
          </w:p>
        </w:tc>
        <w:tc>
          <w:tcPr>
            <w:tcW w:w="1001"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A+T+N+</w:t>
            </w:r>
          </w:p>
        </w:tc>
        <w:tc>
          <w:tcPr>
            <w:tcW w:w="1003"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Total</w:t>
            </w:r>
          </w:p>
        </w:tc>
      </w:tr>
      <w:tr>
        <w:trPr/>
        <w:tc>
          <w:tcPr>
            <w:tcW w:w="1198"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ADNI</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231</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49</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18</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15</w:t>
            </w:r>
          </w:p>
        </w:tc>
        <w:tc>
          <w:tcPr>
            <w:tcW w:w="1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209</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5</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208</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735</w:t>
            </w:r>
          </w:p>
        </w:tc>
      </w:tr>
      <w:tr>
        <w:trPr/>
        <w:tc>
          <w:tcPr>
            <w:tcW w:w="1198"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EDSD</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12</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0</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8</w:t>
            </w:r>
          </w:p>
        </w:tc>
        <w:tc>
          <w:tcPr>
            <w:tcW w:w="1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21</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16</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61</w:t>
            </w:r>
          </w:p>
        </w:tc>
      </w:tr>
      <w:tr>
        <w:trPr/>
        <w:tc>
          <w:tcPr>
            <w:tcW w:w="1198"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ARWIBO</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21</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6</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13</w:t>
            </w:r>
          </w:p>
        </w:tc>
        <w:tc>
          <w:tcPr>
            <w:tcW w:w="1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20</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19</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83</w:t>
            </w:r>
          </w:p>
        </w:tc>
      </w:tr>
      <w:tr>
        <w:trPr/>
        <w:tc>
          <w:tcPr>
            <w:tcW w:w="1198"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NACC</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70</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9</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3</w:t>
            </w:r>
          </w:p>
        </w:tc>
        <w:tc>
          <w:tcPr>
            <w:tcW w:w="1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48</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21</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34</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187</w:t>
            </w:r>
          </w:p>
        </w:tc>
      </w:tr>
      <w:tr>
        <w:trPr/>
        <w:tc>
          <w:tcPr>
            <w:tcW w:w="1198"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JADNI</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53</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0</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26</w:t>
            </w:r>
          </w:p>
        </w:tc>
        <w:tc>
          <w:tcPr>
            <w:tcW w:w="1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65</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40</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187</w:t>
            </w:r>
          </w:p>
        </w:tc>
      </w:tr>
      <w:tr>
        <w:trPr/>
        <w:tc>
          <w:tcPr>
            <w:tcW w:w="1198"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DOD-ADNI</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23</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7</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3</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w:t>
            </w:r>
          </w:p>
        </w:tc>
        <w:tc>
          <w:tcPr>
            <w:tcW w:w="1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31</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0</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5</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70</w:t>
            </w:r>
          </w:p>
        </w:tc>
      </w:tr>
      <w:tr>
        <w:trPr/>
        <w:tc>
          <w:tcPr>
            <w:tcW w:w="1198"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PharmaCog</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40</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5</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4</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9</w:t>
            </w:r>
          </w:p>
        </w:tc>
        <w:tc>
          <w:tcPr>
            <w:tcW w:w="1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40</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3</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42</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143</w:t>
            </w:r>
          </w:p>
        </w:tc>
      </w:tr>
      <w:tr>
        <w:trPr/>
        <w:tc>
          <w:tcPr>
            <w:tcW w:w="1198" w:type="dxa"/>
            <w:tcBorders>
              <w:top w:val="single" w:sz="8" w:space="0" w:color="000000"/>
              <w:left w:val="single" w:sz="8" w:space="0" w:color="000000"/>
              <w:bottom w:val="single" w:sz="8" w:space="0" w:color="000000"/>
              <w:right w:val="single" w:sz="8" w:space="0" w:color="000000"/>
            </w:tcBorders>
            <w:shd w:color="auto" w:fill="B7B7B7" w:val="clear"/>
            <w:tcMar>
              <w:top w:w="100" w:type="dxa"/>
              <w:left w:w="100" w:type="dxa"/>
              <w:bottom w:w="100" w:type="dxa"/>
              <w:right w:w="100" w:type="dxa"/>
            </w:tcMar>
          </w:tcPr>
          <w:p>
            <w:pPr>
              <w:pStyle w:val="Normal"/>
              <w:widowControl w:val="false"/>
              <w:spacing w:lineRule="auto" w:line="240"/>
              <w:jc w:val="center"/>
              <w:rPr>
                <w:b/>
                <w:b/>
                <w:sz w:val="16"/>
                <w:szCs w:val="16"/>
              </w:rPr>
            </w:pPr>
            <w:r>
              <w:rPr>
                <w:b/>
                <w:sz w:val="16"/>
                <w:szCs w:val="16"/>
              </w:rPr>
              <w:t>Total</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450</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78</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30</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75</w:t>
            </w:r>
          </w:p>
        </w:tc>
        <w:tc>
          <w:tcPr>
            <w:tcW w:w="1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434</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35</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364</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lineRule="auto" w:line="240"/>
              <w:jc w:val="center"/>
              <w:rPr>
                <w:sz w:val="16"/>
                <w:szCs w:val="16"/>
              </w:rPr>
            </w:pPr>
            <w:r>
              <w:rPr>
                <w:sz w:val="16"/>
                <w:szCs w:val="16"/>
              </w:rPr>
              <w:t>1466</w:t>
            </w:r>
          </w:p>
        </w:tc>
      </w:tr>
    </w:tbl>
    <w:p>
      <w:pPr>
        <w:pStyle w:val="Normal"/>
        <w:spacing w:lineRule="auto" w:line="240" w:before="0" w:after="200"/>
        <w:jc w:val="both"/>
        <w:rPr/>
      </w:pPr>
      <w:r>
        <w:rPr>
          <w:b/>
        </w:rPr>
        <w:t xml:space="preserve">Table S17: </w:t>
      </w:r>
      <w:r>
        <w:rPr>
          <w:color w:val="000000"/>
        </w:rPr>
        <w:t>The number of participants with available MRI measurements, MMSE, and APOE ε4 status included in the ATN-based clustering analysis in each cohort using K-means thresholds.</w:t>
      </w:r>
      <w:r>
        <w:rPr/>
        <w:t xml:space="preserve"> </w:t>
      </w:r>
    </w:p>
    <w:p>
      <w:pPr>
        <w:pStyle w:val="Normal"/>
        <w:spacing w:lineRule="auto" w:line="240" w:before="0" w:after="200"/>
        <w:jc w:val="both"/>
        <w:rPr/>
      </w:pPr>
      <w:r>
        <w:rPr/>
      </w:r>
    </w:p>
    <w:p>
      <w:pPr>
        <w:pStyle w:val="Normal"/>
        <w:spacing w:lineRule="auto" w:line="240"/>
        <w:jc w:val="center"/>
        <w:rPr/>
      </w:pPr>
      <w:r>
        <w:rPr/>
        <w:drawing>
          <wp:inline distT="0" distB="0" distL="0" distR="0">
            <wp:extent cx="4904740" cy="631952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7"/>
                    <a:stretch>
                      <a:fillRect/>
                    </a:stretch>
                  </pic:blipFill>
                  <pic:spPr bwMode="auto">
                    <a:xfrm>
                      <a:off x="0" y="0"/>
                      <a:ext cx="4904740" cy="6319520"/>
                    </a:xfrm>
                    <a:prstGeom prst="rect">
                      <a:avLst/>
                    </a:prstGeom>
                  </pic:spPr>
                </pic:pic>
              </a:graphicData>
            </a:graphic>
          </wp:inline>
        </w:drawing>
      </w:r>
    </w:p>
    <w:p>
      <w:pPr>
        <w:pStyle w:val="Normal"/>
        <w:spacing w:lineRule="auto" w:line="240"/>
        <w:jc w:val="both"/>
        <w:rPr>
          <w:b/>
          <w:b/>
        </w:rPr>
      </w:pPr>
      <w:r>
        <w:rPr>
          <w:b/>
        </w:rPr>
        <w:t xml:space="preserve">Figure S2: </w:t>
      </w:r>
      <w:r>
        <w:rPr>
          <w:color w:val="000000"/>
        </w:rPr>
        <w:t>Silhouette index for different numbers of clusters within each ATN profile using GMM and K-means thresholds to determine the optimal number of clusters for each profile. The silhouette index measures the distance of data points to their own cluster and contrasts it against the distance to other clusters. The greater the index, the more clearly clusters are separated from each other, with each data point being closer to its assigned cluster than to members of other clusters. A) Using K-means thresholds for the categorization of participants. B) Using GMM thresholds for the categorization of participants.</w:t>
      </w:r>
    </w:p>
    <w:p>
      <w:pPr>
        <w:pStyle w:val="Normal"/>
        <w:jc w:val="both"/>
        <w:rPr/>
      </w:pPr>
      <w:r>
        <w:rPr/>
      </w:r>
    </w:p>
    <w:p>
      <w:pPr>
        <w:pStyle w:val="Normal"/>
        <w:jc w:val="both"/>
        <w:rPr/>
      </w:pPr>
      <w:r>
        <w:rPr/>
      </w:r>
    </w:p>
    <w:tbl>
      <w:tblPr>
        <w:tblStyle w:val="af0"/>
        <w:tblW w:w="9510"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946"/>
        <w:gridCol w:w="1890"/>
        <w:gridCol w:w="955"/>
        <w:gridCol w:w="953"/>
        <w:gridCol w:w="954"/>
        <w:gridCol w:w="953"/>
        <w:gridCol w:w="954"/>
        <w:gridCol w:w="953"/>
        <w:gridCol w:w="951"/>
      </w:tblGrid>
      <w:tr>
        <w:trPr>
          <w:trHeight w:val="440" w:hRule="atLeast"/>
        </w:trPr>
        <w:tc>
          <w:tcPr>
            <w:tcW w:w="2836" w:type="dxa"/>
            <w:gridSpan w:val="2"/>
            <w:vMerge w:val="restart"/>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rPr>
                <w:b/>
                <w:b/>
                <w:sz w:val="16"/>
                <w:szCs w:val="16"/>
              </w:rPr>
            </w:pPr>
            <w:r>
              <w:rPr>
                <w:b/>
                <w:sz w:val="16"/>
                <w:szCs w:val="16"/>
              </w:rPr>
              <w:t>Method</w:t>
            </w:r>
          </w:p>
        </w:tc>
        <w:tc>
          <w:tcPr>
            <w:tcW w:w="6673" w:type="dxa"/>
            <w:gridSpan w:val="7"/>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Biomarker Profile</w:t>
            </w:r>
          </w:p>
        </w:tc>
      </w:tr>
      <w:tr>
        <w:trPr>
          <w:trHeight w:val="440" w:hRule="atLeast"/>
        </w:trPr>
        <w:tc>
          <w:tcPr>
            <w:tcW w:w="2836" w:type="dxa"/>
            <w:gridSpan w:val="2"/>
            <w:vMerge w:val="continue"/>
            <w:tcBorders>
              <w:top w:val="single" w:sz="8" w:space="0" w:color="000000"/>
              <w:left w:val="single" w:sz="8" w:space="0" w:color="000000"/>
              <w:bottom w:val="single" w:sz="8" w:space="0" w:color="000000"/>
              <w:right w:val="single" w:sz="8" w:space="0" w:color="000000"/>
            </w:tcBorders>
            <w:shd w:color="auto" w:fill="B7B7B7" w:val="clear"/>
            <w:vAlign w:val="center"/>
          </w:tcPr>
          <w:p>
            <w:pPr>
              <w:pStyle w:val="Normal"/>
              <w:widowControl w:val="false"/>
              <w:spacing w:lineRule="auto" w:line="240"/>
              <w:rPr>
                <w:b/>
                <w:b/>
                <w:sz w:val="24"/>
                <w:szCs w:val="24"/>
              </w:rPr>
            </w:pPr>
            <w:r>
              <w:rPr>
                <w:b/>
                <w:sz w:val="24"/>
                <w:szCs w:val="24"/>
              </w:rPr>
            </w:r>
          </w:p>
        </w:tc>
        <w:tc>
          <w:tcPr>
            <w:tcW w:w="955"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953"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95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953"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954"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953"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c>
          <w:tcPr>
            <w:tcW w:w="951"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jc w:val="center"/>
              <w:rPr>
                <w:b/>
                <w:b/>
                <w:sz w:val="16"/>
                <w:szCs w:val="16"/>
              </w:rPr>
            </w:pPr>
            <w:r>
              <w:rPr>
                <w:b/>
                <w:sz w:val="16"/>
                <w:szCs w:val="16"/>
              </w:rPr>
              <w:t>A+T+N+</w:t>
            </w:r>
          </w:p>
        </w:tc>
      </w:tr>
      <w:tr>
        <w:trPr>
          <w:trHeight w:val="360" w:hRule="atLeast"/>
        </w:trPr>
        <w:tc>
          <w:tcPr>
            <w:tcW w:w="946" w:type="dxa"/>
            <w:vMerge w:val="restart"/>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K-means</w:t>
            </w:r>
          </w:p>
        </w:tc>
        <w:tc>
          <w:tcPr>
            <w:tcW w:w="189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Cramer’s V</w:t>
            </w:r>
          </w:p>
        </w:tc>
        <w:tc>
          <w:tcPr>
            <w:tcW w:w="9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0.08</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0.15</w:t>
            </w:r>
          </w:p>
        </w:tc>
        <w:tc>
          <w:tcPr>
            <w:tcW w:w="9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0.24</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0.15</w:t>
            </w:r>
          </w:p>
        </w:tc>
        <w:tc>
          <w:tcPr>
            <w:tcW w:w="9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0.1</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w:t>
            </w:r>
          </w:p>
        </w:tc>
        <w:tc>
          <w:tcPr>
            <w:tcW w:w="9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0.13</w:t>
            </w:r>
          </w:p>
        </w:tc>
      </w:tr>
      <w:tr>
        <w:trPr>
          <w:trHeight w:val="360" w:hRule="atLeast"/>
        </w:trPr>
        <w:tc>
          <w:tcPr>
            <w:tcW w:w="946" w:type="dxa"/>
            <w:vMerge w:val="continue"/>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r>
          </w:p>
        </w:tc>
        <w:tc>
          <w:tcPr>
            <w:tcW w:w="189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i/>
                <w:sz w:val="16"/>
                <w:szCs w:val="16"/>
              </w:rPr>
              <w:t>p</w:t>
            </w:r>
            <w:r>
              <w:rPr>
                <w:b/>
                <w:sz w:val="16"/>
                <w:szCs w:val="16"/>
              </w:rPr>
              <w:t>-value</w:t>
            </w:r>
          </w:p>
        </w:tc>
        <w:tc>
          <w:tcPr>
            <w:tcW w:w="9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0.64</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0.92</w:t>
            </w:r>
          </w:p>
        </w:tc>
        <w:tc>
          <w:tcPr>
            <w:tcW w:w="9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0.09</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0.42</w:t>
            </w:r>
          </w:p>
        </w:tc>
        <w:tc>
          <w:tcPr>
            <w:tcW w:w="9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0.11</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0.87</w:t>
            </w:r>
          </w:p>
        </w:tc>
        <w:tc>
          <w:tcPr>
            <w:tcW w:w="9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0.16</w:t>
            </w:r>
          </w:p>
        </w:tc>
      </w:tr>
      <w:tr>
        <w:trPr>
          <w:trHeight w:val="360" w:hRule="atLeast"/>
        </w:trPr>
        <w:tc>
          <w:tcPr>
            <w:tcW w:w="946" w:type="dxa"/>
            <w:vMerge w:val="continue"/>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r>
          </w:p>
        </w:tc>
        <w:tc>
          <w:tcPr>
            <w:tcW w:w="189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Total Participants</w:t>
            </w:r>
          </w:p>
        </w:tc>
        <w:tc>
          <w:tcPr>
            <w:tcW w:w="9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450</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78</w:t>
            </w:r>
          </w:p>
        </w:tc>
        <w:tc>
          <w:tcPr>
            <w:tcW w:w="9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30</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75</w:t>
            </w:r>
          </w:p>
        </w:tc>
        <w:tc>
          <w:tcPr>
            <w:tcW w:w="9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434</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35</w:t>
            </w:r>
          </w:p>
        </w:tc>
        <w:tc>
          <w:tcPr>
            <w:tcW w:w="9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364</w:t>
            </w:r>
          </w:p>
        </w:tc>
      </w:tr>
      <w:tr>
        <w:trPr>
          <w:trHeight w:val="360" w:hRule="atLeast"/>
        </w:trPr>
        <w:tc>
          <w:tcPr>
            <w:tcW w:w="946" w:type="dxa"/>
            <w:vMerge w:val="restart"/>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GMM</w:t>
            </w:r>
          </w:p>
        </w:tc>
        <w:tc>
          <w:tcPr>
            <w:tcW w:w="189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Cramer’s V</w:t>
            </w:r>
          </w:p>
        </w:tc>
        <w:tc>
          <w:tcPr>
            <w:tcW w:w="9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0.1</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0.09</w:t>
            </w:r>
          </w:p>
        </w:tc>
        <w:tc>
          <w:tcPr>
            <w:tcW w:w="9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0.14</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0.36</w:t>
            </w:r>
          </w:p>
        </w:tc>
        <w:tc>
          <w:tcPr>
            <w:tcW w:w="9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0.09</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0.19</w:t>
            </w:r>
          </w:p>
        </w:tc>
        <w:tc>
          <w:tcPr>
            <w:tcW w:w="9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0.16</w:t>
            </w:r>
          </w:p>
        </w:tc>
      </w:tr>
      <w:tr>
        <w:trPr>
          <w:trHeight w:val="360" w:hRule="atLeast"/>
        </w:trPr>
        <w:tc>
          <w:tcPr>
            <w:tcW w:w="946" w:type="dxa"/>
            <w:vMerge w:val="continue"/>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r>
          </w:p>
        </w:tc>
        <w:tc>
          <w:tcPr>
            <w:tcW w:w="189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i/>
                <w:sz w:val="16"/>
                <w:szCs w:val="16"/>
              </w:rPr>
              <w:t>p</w:t>
            </w:r>
            <w:r>
              <w:rPr>
                <w:b/>
                <w:sz w:val="16"/>
                <w:szCs w:val="16"/>
              </w:rPr>
              <w:t>-value</w:t>
            </w:r>
          </w:p>
        </w:tc>
        <w:tc>
          <w:tcPr>
            <w:tcW w:w="9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0.26</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0.94</w:t>
            </w:r>
          </w:p>
        </w:tc>
        <w:tc>
          <w:tcPr>
            <w:tcW w:w="9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0.16</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0.01</w:t>
            </w:r>
          </w:p>
        </w:tc>
        <w:tc>
          <w:tcPr>
            <w:tcW w:w="9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0.06</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0.1</w:t>
            </w:r>
          </w:p>
        </w:tc>
        <w:tc>
          <w:tcPr>
            <w:tcW w:w="9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0.02</w:t>
            </w:r>
          </w:p>
        </w:tc>
      </w:tr>
      <w:tr>
        <w:trPr>
          <w:trHeight w:val="360" w:hRule="atLeast"/>
        </w:trPr>
        <w:tc>
          <w:tcPr>
            <w:tcW w:w="946" w:type="dxa"/>
            <w:vMerge w:val="continue"/>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r>
          </w:p>
        </w:tc>
        <w:tc>
          <w:tcPr>
            <w:tcW w:w="1890" w:type="dxa"/>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lineRule="auto" w:line="240"/>
              <w:rPr>
                <w:b/>
                <w:b/>
                <w:sz w:val="16"/>
                <w:szCs w:val="16"/>
              </w:rPr>
            </w:pPr>
            <w:r>
              <w:rPr>
                <w:b/>
                <w:sz w:val="16"/>
                <w:szCs w:val="16"/>
              </w:rPr>
              <w:t>Total Participants</w:t>
            </w:r>
          </w:p>
        </w:tc>
        <w:tc>
          <w:tcPr>
            <w:tcW w:w="9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500</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25</w:t>
            </w:r>
          </w:p>
        </w:tc>
        <w:tc>
          <w:tcPr>
            <w:tcW w:w="9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26</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40</w:t>
            </w:r>
          </w:p>
        </w:tc>
        <w:tc>
          <w:tcPr>
            <w:tcW w:w="9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588</w:t>
            </w:r>
          </w:p>
        </w:tc>
        <w:tc>
          <w:tcPr>
            <w:tcW w:w="9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67</w:t>
            </w:r>
          </w:p>
        </w:tc>
        <w:tc>
          <w:tcPr>
            <w:tcW w:w="9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sz w:val="16"/>
                <w:szCs w:val="16"/>
              </w:rPr>
            </w:pPr>
            <w:r>
              <w:rPr>
                <w:sz w:val="16"/>
                <w:szCs w:val="16"/>
              </w:rPr>
              <w:t>232</w:t>
            </w:r>
          </w:p>
        </w:tc>
      </w:tr>
    </w:tbl>
    <w:p>
      <w:pPr>
        <w:pStyle w:val="Normal"/>
        <w:jc w:val="both"/>
        <w:rPr>
          <w:strike/>
        </w:rPr>
      </w:pPr>
      <w:r>
        <w:rPr>
          <w:b/>
        </w:rPr>
        <w:t xml:space="preserve">Table S18: </w:t>
      </w:r>
      <w:r>
        <w:rPr>
          <w:color w:val="000000"/>
        </w:rPr>
        <w:t>Cramer’s V (a measure of association between cohort membership and cluster assignment with 0 meaning no association and 1 perfect association) and the p-value for each clustering of participants in each ATN profile using certain data-driven thresholds. These results are from the clustering experiment in which the number of clusters was set to be equal to the number of cohorts.</w:t>
      </w:r>
    </w:p>
    <w:p>
      <w:pPr>
        <w:pStyle w:val="Normal"/>
        <w:spacing w:before="0" w:after="200"/>
        <w:jc w:val="both"/>
        <w:rPr/>
      </w:pPr>
      <w:r>
        <w:rPr/>
      </w:r>
    </w:p>
    <w:p>
      <w:pPr>
        <w:pStyle w:val="Heading2"/>
        <w:spacing w:before="360" w:after="200"/>
        <w:rPr>
          <w:b/>
          <w:b/>
          <w:sz w:val="20"/>
          <w:szCs w:val="20"/>
        </w:rPr>
      </w:pPr>
      <w:r>
        <w:rPr>
          <w:b/>
          <w:sz w:val="20"/>
          <w:szCs w:val="20"/>
        </w:rPr>
      </w:r>
      <w:bookmarkStart w:id="1" w:name="_i49juz30vvoz"/>
      <w:bookmarkStart w:id="2" w:name="_i49juz30vvoz"/>
      <w:bookmarkEnd w:id="2"/>
    </w:p>
    <w:p>
      <w:pPr>
        <w:pStyle w:val="Heading2"/>
        <w:spacing w:before="360" w:after="200"/>
        <w:rPr>
          <w:b/>
          <w:b/>
          <w:sz w:val="20"/>
          <w:szCs w:val="20"/>
        </w:rPr>
      </w:pPr>
      <w:r>
        <w:rPr>
          <w:b/>
          <w:sz w:val="20"/>
          <w:szCs w:val="20"/>
        </w:rPr>
      </w:r>
      <w:bookmarkStart w:id="3" w:name="_o80jy4yer829"/>
      <w:bookmarkStart w:id="4" w:name="_o80jy4yer829"/>
      <w:bookmarkEnd w:id="4"/>
      <w:r>
        <w:br w:type="page"/>
      </w:r>
    </w:p>
    <w:p>
      <w:pPr>
        <w:pStyle w:val="Heading2"/>
        <w:spacing w:before="360" w:after="200"/>
        <w:rPr>
          <w:b/>
          <w:b/>
          <w:sz w:val="20"/>
          <w:szCs w:val="20"/>
        </w:rPr>
      </w:pPr>
      <w:bookmarkStart w:id="5" w:name="_sq2zkoasd3l"/>
      <w:bookmarkEnd w:id="5"/>
      <w:r>
        <w:rPr>
          <w:b/>
          <w:sz w:val="20"/>
          <w:szCs w:val="20"/>
        </w:rPr>
        <w:t>References</w:t>
      </w:r>
    </w:p>
    <w:p>
      <w:pPr>
        <w:pStyle w:val="Normal"/>
        <w:numPr>
          <w:ilvl w:val="0"/>
          <w:numId w:val="1"/>
        </w:numPr>
        <w:spacing w:before="200" w:after="200"/>
        <w:jc w:val="both"/>
        <w:rPr>
          <w:sz w:val="16"/>
          <w:szCs w:val="16"/>
        </w:rPr>
      </w:pPr>
      <w:r>
        <w:rPr>
          <w:sz w:val="16"/>
          <w:szCs w:val="16"/>
        </w:rPr>
        <w:t>Mueller SG, Weiner MW, Thal LJ, Petersen RC, Jack CR, Jagust W, et al. Ways toward an early diagnosis in Alzheimer’s disease: the Alzheimer’s Disease Neuroimaging Initiative (ADNI). Alzheimers Dement. 2005;1(1):55-66.</w:t>
      </w:r>
    </w:p>
    <w:p>
      <w:pPr>
        <w:pStyle w:val="Normal"/>
        <w:numPr>
          <w:ilvl w:val="0"/>
          <w:numId w:val="1"/>
        </w:numPr>
        <w:spacing w:before="0" w:after="200"/>
        <w:jc w:val="both"/>
        <w:rPr>
          <w:sz w:val="16"/>
          <w:szCs w:val="16"/>
        </w:rPr>
      </w:pPr>
      <w:r>
        <w:rPr>
          <w:sz w:val="16"/>
          <w:szCs w:val="16"/>
        </w:rPr>
        <w:t>Solomon A, Kivipelto M, Molinuevo JL, Tom B, Ritchie CW; EPAD Consortium. European Prevention of Alzheimer's Dementia Longitudinal Cohort Study (EPAD LCS): study protocol. BMJ Open. 2019;8(12):e021017.</w:t>
      </w:r>
    </w:p>
    <w:p>
      <w:pPr>
        <w:pStyle w:val="Normal"/>
        <w:numPr>
          <w:ilvl w:val="0"/>
          <w:numId w:val="1"/>
        </w:numPr>
        <w:spacing w:before="0" w:after="200"/>
        <w:jc w:val="both"/>
        <w:rPr>
          <w:sz w:val="16"/>
          <w:szCs w:val="16"/>
        </w:rPr>
      </w:pPr>
      <w:r>
        <w:rPr>
          <w:sz w:val="16"/>
          <w:szCs w:val="16"/>
        </w:rPr>
        <w:t>Ellis KA, Bush AI, Darby D, De Fazio D, Foster J, Hudson P, et al. The Australian Imaging, Biomarkers and Lifestyle (AIBL) study of aging: methodology and baseline characteristics of 1112 individuals recruited for a longitudinal study of Alzheimer's disease. Int Psychogeriatr. 2009;21(4):672-687.</w:t>
      </w:r>
    </w:p>
    <w:p>
      <w:pPr>
        <w:pStyle w:val="Normal"/>
        <w:numPr>
          <w:ilvl w:val="0"/>
          <w:numId w:val="1"/>
        </w:numPr>
        <w:spacing w:before="0" w:after="200"/>
        <w:jc w:val="both"/>
        <w:rPr>
          <w:sz w:val="16"/>
          <w:szCs w:val="16"/>
        </w:rPr>
      </w:pPr>
      <w:r>
        <w:rPr>
          <w:sz w:val="16"/>
          <w:szCs w:val="16"/>
        </w:rPr>
        <w:t>Frisoni GB, Prestia A, Zanetti O, Galluzzi S, Romano M, Cotelli M, et al. Markers of Alzheimer's disease in a population attending a memory clinic. Alzheimers Dement. 2009;5(4):307-317.</w:t>
      </w:r>
    </w:p>
    <w:p>
      <w:pPr>
        <w:pStyle w:val="Normal"/>
        <w:numPr>
          <w:ilvl w:val="0"/>
          <w:numId w:val="1"/>
        </w:numPr>
        <w:spacing w:before="0" w:after="200"/>
        <w:jc w:val="both"/>
        <w:rPr>
          <w:sz w:val="16"/>
          <w:szCs w:val="16"/>
        </w:rPr>
      </w:pPr>
      <w:r>
        <w:rPr>
          <w:sz w:val="16"/>
          <w:szCs w:val="16"/>
        </w:rPr>
        <w:t>Brueggen K, Grothe MJ, Dyrba M, Fellgiebel A, Fischer F, Filippi M, et al.The European DTI Study on Dementia - A multicenter DTI and MRI study on Alzheimer's disease and Mild Cognitive Impairment. Neuroimage. 2017;144(Pt B):305-308.</w:t>
      </w:r>
    </w:p>
    <w:p>
      <w:pPr>
        <w:pStyle w:val="Normal"/>
        <w:numPr>
          <w:ilvl w:val="0"/>
          <w:numId w:val="1"/>
        </w:numPr>
        <w:spacing w:before="0" w:after="200"/>
        <w:jc w:val="both"/>
        <w:rPr>
          <w:sz w:val="16"/>
          <w:szCs w:val="16"/>
        </w:rPr>
      </w:pPr>
      <w:r>
        <w:rPr>
          <w:sz w:val="16"/>
          <w:szCs w:val="16"/>
        </w:rPr>
        <w:t>Breitner JCS, Poirier J, Etienne PE, Leoutsakos JM. Rationale and Structure for a New Center for Studies on Prevention of Alzheimer's Disease (StoP-AD). J Prev Alzheimers Dis. 2016;3(4):236-242.</w:t>
      </w:r>
    </w:p>
    <w:p>
      <w:pPr>
        <w:pStyle w:val="Normal"/>
        <w:numPr>
          <w:ilvl w:val="0"/>
          <w:numId w:val="1"/>
        </w:numPr>
        <w:spacing w:before="0" w:after="200"/>
        <w:jc w:val="both"/>
        <w:rPr>
          <w:sz w:val="16"/>
          <w:szCs w:val="16"/>
        </w:rPr>
      </w:pPr>
      <w:r>
        <w:rPr>
          <w:sz w:val="16"/>
          <w:szCs w:val="16"/>
        </w:rPr>
        <w:t>Galluzzi S, Marizzoni M, Babiloni C, Albani D, Antelmi L, Bagnoli C, et al. Clinical and biomarker profiling of prodromal Alzheimer's disease in workpackage 5 of the Innovative Medicines Initiative PharmaCog project: a 'European ADNI study'. J Intern Med. 2016;279(6):576-591.</w:t>
      </w:r>
    </w:p>
    <w:p>
      <w:pPr>
        <w:pStyle w:val="Normal"/>
        <w:numPr>
          <w:ilvl w:val="0"/>
          <w:numId w:val="1"/>
        </w:numPr>
        <w:spacing w:before="0" w:after="200"/>
        <w:jc w:val="both"/>
        <w:rPr>
          <w:sz w:val="16"/>
          <w:szCs w:val="16"/>
        </w:rPr>
      </w:pPr>
      <w:r>
        <w:rPr>
          <w:sz w:val="16"/>
          <w:szCs w:val="16"/>
        </w:rPr>
        <w:t>Besser L, Kukull W, Knopman DS, Chui H, Galasko D, Weintraub S, et al. Version 3 of the National Alzheimer’s Coordinating Center’s Uniform Data Set. Alzheimer Dis Assoc Disord. 2018;32(4):351-358.</w:t>
      </w:r>
    </w:p>
    <w:p>
      <w:pPr>
        <w:pStyle w:val="Normal"/>
        <w:numPr>
          <w:ilvl w:val="0"/>
          <w:numId w:val="1"/>
        </w:numPr>
        <w:spacing w:before="0" w:after="200"/>
        <w:jc w:val="both"/>
        <w:rPr>
          <w:sz w:val="16"/>
          <w:szCs w:val="16"/>
        </w:rPr>
      </w:pPr>
      <w:r>
        <w:rPr>
          <w:sz w:val="16"/>
          <w:szCs w:val="16"/>
        </w:rPr>
        <w:t>Bos I, Vos S, Vandenberghe R, Scheltens P, Engelborghs S, Frisoni G, et al. The EMIF-AD Multimodal Biomarker Discovery study: design, methods and cohort characteristics. Alzheimers Res Ther. 2018;10(1):64.</w:t>
      </w:r>
    </w:p>
    <w:p>
      <w:pPr>
        <w:pStyle w:val="Normal"/>
        <w:numPr>
          <w:ilvl w:val="0"/>
          <w:numId w:val="1"/>
        </w:numPr>
        <w:spacing w:before="0" w:after="200"/>
        <w:jc w:val="both"/>
        <w:rPr>
          <w:sz w:val="16"/>
          <w:szCs w:val="16"/>
        </w:rPr>
      </w:pPr>
      <w:r>
        <w:rPr>
          <w:sz w:val="16"/>
          <w:szCs w:val="16"/>
        </w:rPr>
        <w:t>Weiner MW, Veitch DP, Hayes J, Neylan T, Grafman J, Aisen PS, et al. Effects of traumatic brain injury and posttraumatic stress disorder on Alzheimer's disease in veterans, using the Alzheimer's Disease Neuroimaging Initiative. Alzheimers Dement. 2014;10(3 Suppl):S226-S235.</w:t>
      </w:r>
    </w:p>
    <w:p>
      <w:pPr>
        <w:pStyle w:val="Normal"/>
        <w:numPr>
          <w:ilvl w:val="0"/>
          <w:numId w:val="1"/>
        </w:numPr>
        <w:spacing w:before="0" w:after="200"/>
        <w:jc w:val="both"/>
        <w:rPr>
          <w:sz w:val="16"/>
          <w:szCs w:val="16"/>
        </w:rPr>
      </w:pPr>
      <w:r>
        <w:rPr>
          <w:sz w:val="16"/>
          <w:szCs w:val="16"/>
        </w:rPr>
        <w:t>Iwatsubo T. Japanese Alzheimer's Disease Neuroimaging Initiative: present status and future. Alzheimers Dement. 2010;6(3):297-299.</w:t>
      </w:r>
    </w:p>
    <w:p>
      <w:pPr>
        <w:pStyle w:val="Normal"/>
        <w:numPr>
          <w:ilvl w:val="0"/>
          <w:numId w:val="1"/>
        </w:numPr>
        <w:spacing w:before="0" w:after="200"/>
        <w:jc w:val="both"/>
        <w:rPr>
          <w:sz w:val="16"/>
          <w:szCs w:val="16"/>
        </w:rPr>
      </w:pPr>
      <w:r>
        <w:rPr>
          <w:sz w:val="16"/>
          <w:szCs w:val="16"/>
        </w:rPr>
        <w:t xml:space="preserve">Shiino, A., Shirakashi, Y., Ishida, M., Tanigaki, K., &amp; Japanese Alzheimer's Disease Neuroimaging Initiative (2021). Machine learning of brain structural biomarkers for Alzheimer's disease (AD) diagnosis, prediction of disease progression, and amyloid beta deposition in the Japanese population. Alzheimer's &amp; dementia (Amsterdam, Netherlands), 13(1), e12246. </w:t>
      </w:r>
      <w:hyperlink r:id="rId8">
        <w:r>
          <w:rPr>
            <w:sz w:val="16"/>
            <w:szCs w:val="16"/>
          </w:rPr>
          <w:t>https://doi.org/10.1002/dad2.12246</w:t>
        </w:r>
      </w:hyperlink>
    </w:p>
    <w:p>
      <w:pPr>
        <w:pStyle w:val="Normal"/>
        <w:numPr>
          <w:ilvl w:val="0"/>
          <w:numId w:val="1"/>
        </w:numPr>
        <w:spacing w:before="0" w:after="200"/>
        <w:jc w:val="both"/>
        <w:rPr>
          <w:sz w:val="16"/>
          <w:szCs w:val="16"/>
        </w:rPr>
      </w:pPr>
      <w:r>
        <w:rPr>
          <w:sz w:val="16"/>
          <w:szCs w:val="16"/>
        </w:rPr>
        <w:t xml:space="preserve">Song, R., Wu, X., Liu, H., Guo, D., Tang, L., Zhang, W., Feng, J., &amp; Li, C. (2022). Prediction of Cognitive Progression in Individuals with Mild Cognitive Impairment Using Radiomics as an Improvement of the ATN System: A Five-Year Follow-Up Study. Korean journal of radiology, 23(1), 89–100. </w:t>
      </w:r>
      <w:hyperlink r:id="rId9">
        <w:r>
          <w:rPr>
            <w:color w:val="1155CC"/>
            <w:sz w:val="16"/>
            <w:szCs w:val="16"/>
            <w:u w:val="single"/>
          </w:rPr>
          <w:t>https://doi.org/10.3348/kjr.2021.0323</w:t>
        </w:r>
      </w:hyperlink>
    </w:p>
    <w:p>
      <w:pPr>
        <w:pStyle w:val="Normal"/>
        <w:numPr>
          <w:ilvl w:val="0"/>
          <w:numId w:val="1"/>
        </w:numPr>
        <w:spacing w:before="0" w:after="200"/>
        <w:jc w:val="both"/>
        <w:rPr>
          <w:sz w:val="16"/>
          <w:szCs w:val="16"/>
        </w:rPr>
      </w:pPr>
      <w:r>
        <w:rPr>
          <w:sz w:val="16"/>
          <w:szCs w:val="16"/>
        </w:rPr>
        <w:t xml:space="preserve">Lee, J., Jang, H., Kang, S. H., Kim, J., Kim, J. S., Kim, J. P., Kim, H. J., Seo, S. W., &amp; Na, D. L. (2020). Cerebrospinal Fluid Biomarkers for the Diagnosis and Classification of Alzheimer's Disease Spectrum. Journal of Korean medical science, 35(44), e361. </w:t>
      </w:r>
      <w:hyperlink r:id="rId10">
        <w:r>
          <w:rPr>
            <w:color w:val="1155CC"/>
            <w:sz w:val="16"/>
            <w:szCs w:val="16"/>
            <w:u w:val="single"/>
          </w:rPr>
          <w:t>https://doi.org/10.3346/jkms.2020.35.e361</w:t>
        </w:r>
      </w:hyperlink>
    </w:p>
    <w:p>
      <w:pPr>
        <w:pStyle w:val="Normal"/>
        <w:numPr>
          <w:ilvl w:val="0"/>
          <w:numId w:val="1"/>
        </w:numPr>
        <w:spacing w:before="0" w:after="200"/>
        <w:jc w:val="both"/>
        <w:rPr>
          <w:sz w:val="16"/>
          <w:szCs w:val="16"/>
        </w:rPr>
      </w:pPr>
      <w:r>
        <w:rPr>
          <w:sz w:val="16"/>
          <w:szCs w:val="16"/>
        </w:rPr>
        <w:t xml:space="preserve">Schindler, S. E., Gray, J. D., Gordon, B. A., Xiong, C., Batrla-Utermann, R., Quan, M., Wahl, S., Benzinger, T., Holtzman, D. M., Morris, J. C., &amp; Fagan, A. M. (2018). Cerebrospinal fluid biomarkers measured by Elecsys assays compared to amyloid imaging. Alzheimer's &amp; dementia : the journal of the Alzheimer's Association, 14(11), 1460–1469. </w:t>
      </w:r>
      <w:hyperlink r:id="rId11">
        <w:r>
          <w:rPr>
            <w:color w:val="1155CC"/>
            <w:sz w:val="16"/>
            <w:szCs w:val="16"/>
            <w:u w:val="single"/>
          </w:rPr>
          <w:t>https://doi.org/10.1016/j.jalz.2018.01.013</w:t>
        </w:r>
      </w:hyperlink>
    </w:p>
    <w:p>
      <w:pPr>
        <w:pStyle w:val="Normal"/>
        <w:numPr>
          <w:ilvl w:val="0"/>
          <w:numId w:val="1"/>
        </w:numPr>
        <w:spacing w:before="0" w:after="200"/>
        <w:jc w:val="both"/>
        <w:rPr>
          <w:sz w:val="16"/>
          <w:szCs w:val="16"/>
        </w:rPr>
      </w:pPr>
      <w:r>
        <w:rPr>
          <w:sz w:val="16"/>
          <w:szCs w:val="16"/>
        </w:rPr>
        <w:t xml:space="preserve">Provost, K., Iaccarino, L., Soleimani-Meigooni, D. N., Baker, S., Edwards, L., Eichenlaub, U., Hansson, O., Jagust, W., Janabi, M., La Joie, R., Lesman-Segev, O., Mellinger, T. J., Miller, B. L., Ossenkoppele, R., Pham, J., Smith, R., Sonni, I., Strom, A., Mattsson-Carlgren, N., Rabinovici, G. D., … Alzheimer’s Disease Neuroimaging Initiative (ADNI) (2021). Comparing ATN-T designation by tau PET visual reads, tau PET quantification, and CSF PTau181 across three cohorts. European journal of nuclear medicine and molecular imaging, 48(7), 2259–2271. </w:t>
      </w:r>
      <w:hyperlink r:id="rId12">
        <w:r>
          <w:rPr>
            <w:color w:val="1155CC"/>
            <w:sz w:val="16"/>
            <w:szCs w:val="16"/>
            <w:u w:val="single"/>
          </w:rPr>
          <w:t>https://doi.org/10.1007/s00259-020-05152-8</w:t>
        </w:r>
      </w:hyperlink>
    </w:p>
    <w:p>
      <w:pPr>
        <w:pStyle w:val="Normal"/>
        <w:numPr>
          <w:ilvl w:val="0"/>
          <w:numId w:val="1"/>
        </w:numPr>
        <w:spacing w:before="0" w:after="200"/>
        <w:jc w:val="both"/>
        <w:rPr>
          <w:sz w:val="16"/>
          <w:szCs w:val="16"/>
        </w:rPr>
      </w:pPr>
      <w:r>
        <w:rPr>
          <w:sz w:val="16"/>
          <w:szCs w:val="16"/>
        </w:rPr>
        <w:t xml:space="preserve">Delmotte, K., Schaeverbeke, J., Poesen, K., &amp; Vandenberghe, R. (2021). Prognostic value of amyloid/tau/neurodegeneration (ATN) classification based on diagnostic cerebrospinal fluid samples for Alzheimer's disease. Alzheimer's research &amp; therapy, 13(1), 84. </w:t>
      </w:r>
      <w:hyperlink r:id="rId13">
        <w:r>
          <w:rPr>
            <w:color w:val="1155CC"/>
            <w:sz w:val="16"/>
            <w:szCs w:val="16"/>
            <w:u w:val="single"/>
          </w:rPr>
          <w:t>https://doi.org/10.1186/s13195-021-00817-4</w:t>
        </w:r>
      </w:hyperlink>
    </w:p>
    <w:p>
      <w:pPr>
        <w:pStyle w:val="Normal"/>
        <w:numPr>
          <w:ilvl w:val="0"/>
          <w:numId w:val="1"/>
        </w:numPr>
        <w:spacing w:before="0" w:after="200"/>
        <w:jc w:val="both"/>
        <w:rPr>
          <w:sz w:val="16"/>
          <w:szCs w:val="16"/>
        </w:rPr>
      </w:pPr>
      <w:r>
        <w:rPr>
          <w:sz w:val="16"/>
          <w:szCs w:val="16"/>
        </w:rPr>
        <w:t xml:space="preserve">Cousins, K., Phillips, J. S., Irwin, D. J., Lee, E. B., Wolk, D. A., Shaw, L. M., Zetterberg, H., Blennow, K., Burke, S. E., Kinney, N. G., Gibbons, G. S., McMillan, C. T., Trojanowski, J. Q., &amp; Grossman, M. (2021). ATN incorporating cerebrospinal fluid neurofilament light chain detects frontotemporal lobar degeneration. Alzheimer's &amp; dementia : the journal of the Alzheimer's Association, 17(5), 822–830. </w:t>
      </w:r>
      <w:hyperlink r:id="rId14">
        <w:r>
          <w:rPr>
            <w:color w:val="1155CC"/>
            <w:sz w:val="16"/>
            <w:szCs w:val="16"/>
            <w:u w:val="single"/>
          </w:rPr>
          <w:t>https://doi.org/10.1002/alz.12233</w:t>
        </w:r>
      </w:hyperlink>
    </w:p>
    <w:p>
      <w:pPr>
        <w:pStyle w:val="Normal"/>
        <w:numPr>
          <w:ilvl w:val="0"/>
          <w:numId w:val="1"/>
        </w:numPr>
        <w:spacing w:before="0" w:after="200"/>
        <w:jc w:val="both"/>
        <w:rPr>
          <w:sz w:val="16"/>
          <w:szCs w:val="16"/>
        </w:rPr>
      </w:pPr>
      <w:r>
        <w:rPr>
          <w:sz w:val="16"/>
          <w:szCs w:val="16"/>
        </w:rPr>
        <w:t xml:space="preserve">Blazhenets, G., Frings, L., Ma, Y., Sörensen, A., Eidelberg, D., Wiltfang, J., Meyer, P. T., &amp; Alzheimer's Disease Neuroimaging Initiative (2021). Validation of the Alzheimer Disease Dementia Conversion-Related Pattern as an ATN Biomarker of Neurodegeneration. Neurology, 96(9), e1358–e1368. </w:t>
      </w:r>
      <w:hyperlink r:id="rId15">
        <w:r>
          <w:rPr>
            <w:color w:val="1155CC"/>
            <w:sz w:val="16"/>
            <w:szCs w:val="16"/>
            <w:u w:val="single"/>
          </w:rPr>
          <w:t>https://doi.org/10.1212/WNL.0000000000011521</w:t>
        </w:r>
      </w:hyperlink>
    </w:p>
    <w:p>
      <w:pPr>
        <w:pStyle w:val="Normal"/>
        <w:numPr>
          <w:ilvl w:val="0"/>
          <w:numId w:val="1"/>
        </w:numPr>
        <w:spacing w:before="0" w:after="200"/>
        <w:jc w:val="both"/>
        <w:rPr>
          <w:sz w:val="16"/>
          <w:szCs w:val="16"/>
        </w:rPr>
      </w:pPr>
      <w:r>
        <w:rPr>
          <w:sz w:val="16"/>
          <w:szCs w:val="16"/>
        </w:rPr>
        <w:t xml:space="preserve">Guo, Y., Li, H. Q., Tan, L., Chen, S. D., Yang, Y. X., Ma, Y. H., Zuo, C. T., Dong, Q., Tan, L., Yu, J. T., &amp; Alzheimer's Disease Neuroimaging Initiative (2020). Discordant Alzheimer's neurodegenerative biomarkers and their clinical outcomes. Annals of clinical and translational neurology, 7(10), 1996–2009. </w:t>
      </w:r>
      <w:hyperlink r:id="rId16">
        <w:r>
          <w:rPr>
            <w:color w:val="1155CC"/>
            <w:sz w:val="16"/>
            <w:szCs w:val="16"/>
            <w:u w:val="single"/>
          </w:rPr>
          <w:t>https://doi.org/10.1002/acn3.51196</w:t>
        </w:r>
      </w:hyperlink>
    </w:p>
    <w:p>
      <w:pPr>
        <w:pStyle w:val="Normal"/>
        <w:numPr>
          <w:ilvl w:val="0"/>
          <w:numId w:val="1"/>
        </w:numPr>
        <w:spacing w:before="0" w:after="200"/>
        <w:jc w:val="both"/>
        <w:rPr>
          <w:sz w:val="16"/>
          <w:szCs w:val="16"/>
        </w:rPr>
      </w:pPr>
      <w:r>
        <w:rPr>
          <w:sz w:val="16"/>
          <w:szCs w:val="16"/>
        </w:rPr>
        <w:t xml:space="preserve">Torso, M., Bozzali, M., Zamboni, G., Jenkinson, M., Chance, S. A., &amp; Alzheimers Disease Neuroimage Initiative (2021). Detection of Alzheimer's Disease using cortical diffusion tensor imaging. Human brain mapping, 42(4), 967–977. </w:t>
      </w:r>
      <w:hyperlink r:id="rId17">
        <w:r>
          <w:rPr>
            <w:color w:val="1155CC"/>
            <w:sz w:val="16"/>
            <w:szCs w:val="16"/>
            <w:u w:val="single"/>
          </w:rPr>
          <w:t>https://doi.org/10.1002/hbm.25271</w:t>
        </w:r>
      </w:hyperlink>
    </w:p>
    <w:p>
      <w:pPr>
        <w:pStyle w:val="Normal"/>
        <w:numPr>
          <w:ilvl w:val="0"/>
          <w:numId w:val="1"/>
        </w:numPr>
        <w:spacing w:before="0" w:after="200"/>
        <w:jc w:val="both"/>
        <w:rPr>
          <w:sz w:val="16"/>
          <w:szCs w:val="16"/>
        </w:rPr>
      </w:pPr>
      <w:r>
        <w:rPr>
          <w:sz w:val="16"/>
          <w:szCs w:val="16"/>
        </w:rPr>
        <w:t xml:space="preserve">Aksnes, M., Tiiman, A., Edwin, T. H., Terenius, L., Bogdanović, N., Vukojević, V., &amp; Knapskog, A. B. (2021). Comparison of Cerebrospinal Fluid Amyloidogenic Nanoplaques With Core Biomarkers of Alzheimer's Disease. Frontiers in aging neuroscience, 12, 608628. </w:t>
      </w:r>
      <w:hyperlink r:id="rId18">
        <w:r>
          <w:rPr>
            <w:color w:val="1155CC"/>
            <w:sz w:val="16"/>
            <w:szCs w:val="16"/>
            <w:u w:val="single"/>
          </w:rPr>
          <w:t>https://doi.org/10.3389/fnagi.2020.608628</w:t>
        </w:r>
      </w:hyperlink>
    </w:p>
    <w:p>
      <w:pPr>
        <w:pStyle w:val="Normal"/>
        <w:numPr>
          <w:ilvl w:val="0"/>
          <w:numId w:val="1"/>
        </w:numPr>
        <w:spacing w:before="0" w:after="200"/>
        <w:jc w:val="both"/>
        <w:rPr>
          <w:sz w:val="16"/>
          <w:szCs w:val="16"/>
        </w:rPr>
      </w:pPr>
      <w:r>
        <w:rPr>
          <w:sz w:val="16"/>
          <w:szCs w:val="16"/>
        </w:rPr>
        <w:t xml:space="preserve">Illán-Gala, I., Pegueroles, J., Montal, V., Vilaplana, E., Carmona-Iragui, M., Alcolea, D., Dickerson, B. C., Sánchez-Valle, R., de Leon, M. J., Blesa, R., Lleó, A., &amp; Fortea, J. (2018). Challenges associated with biomarker-based classification systems for Alzheimer's disease. Alzheimer's &amp; dementia (Amsterdam, Netherlands), 10, 346–357. </w:t>
      </w:r>
      <w:hyperlink r:id="rId19">
        <w:r>
          <w:rPr>
            <w:color w:val="1155CC"/>
            <w:sz w:val="16"/>
            <w:szCs w:val="16"/>
            <w:u w:val="single"/>
          </w:rPr>
          <w:t>https://doi.org/10.1016/j.dadm.2018.03.004</w:t>
        </w:r>
      </w:hyperlink>
    </w:p>
    <w:p>
      <w:pPr>
        <w:pStyle w:val="Normal"/>
        <w:numPr>
          <w:ilvl w:val="0"/>
          <w:numId w:val="1"/>
        </w:numPr>
        <w:spacing w:before="0" w:after="200"/>
        <w:jc w:val="both"/>
        <w:rPr>
          <w:sz w:val="16"/>
          <w:szCs w:val="16"/>
        </w:rPr>
      </w:pPr>
      <w:r>
        <w:rPr>
          <w:sz w:val="16"/>
          <w:szCs w:val="16"/>
        </w:rPr>
        <w:t xml:space="preserve">Hansen, E. O., Dias, N. S., Burgos, I., Costa, M. V., Carvalho, A. T., Teixeira, A. L., Barbosa, I. G., Santos, L., Rosa, D., Ribeiro, A., Viana, B. M., &amp; Bicalho, M. (2021). Millipore xMap® Luminex (HATMAG-68K): An Accurate and Cost-Effective Method for Evaluating Alzheimer's Biomarkers in Cerebrospinal Fluid. Frontiers in psychiatry, 12, 716686. </w:t>
      </w:r>
      <w:hyperlink r:id="rId20">
        <w:r>
          <w:rPr>
            <w:color w:val="1155CC"/>
            <w:sz w:val="16"/>
            <w:szCs w:val="16"/>
            <w:u w:val="single"/>
          </w:rPr>
          <w:t>https://doi.org/10.3389/fpsyt.2021.716686</w:t>
        </w:r>
      </w:hyperlink>
    </w:p>
    <w:p>
      <w:pPr>
        <w:pStyle w:val="Normal"/>
        <w:numPr>
          <w:ilvl w:val="0"/>
          <w:numId w:val="1"/>
        </w:numPr>
        <w:spacing w:before="0" w:after="200"/>
        <w:jc w:val="both"/>
        <w:rPr>
          <w:sz w:val="16"/>
          <w:szCs w:val="16"/>
        </w:rPr>
      </w:pPr>
      <w:r>
        <w:rPr>
          <w:sz w:val="16"/>
          <w:szCs w:val="16"/>
        </w:rPr>
        <w:t xml:space="preserve">Shen, X. N., Li, J. Q., Wang, H. F., Li, H. Q., Huang, Y. Y., Yang, Y. X., Tan, L., Dong, Q., Yu, J. T., &amp; Alzheimer's Disease Neuroimaging Initiative (2020). Plasma amyloid, tau, and neurodegeneration biomarker profiles predict Alzheimer's disease pathology and clinical progression in older adults without dementia. Alzheimer's &amp; dementia (Amsterdam, Netherlands), 12(1), e12104. </w:t>
      </w:r>
      <w:hyperlink r:id="rId21">
        <w:r>
          <w:rPr>
            <w:color w:val="1155CC"/>
            <w:sz w:val="16"/>
            <w:szCs w:val="16"/>
            <w:u w:val="single"/>
          </w:rPr>
          <w:t>https://doi.org/10.1002/dad2.12104</w:t>
        </w:r>
      </w:hyperlink>
    </w:p>
    <w:p>
      <w:pPr>
        <w:pStyle w:val="Normal"/>
        <w:numPr>
          <w:ilvl w:val="0"/>
          <w:numId w:val="1"/>
        </w:numPr>
        <w:spacing w:before="0" w:after="200"/>
        <w:jc w:val="both"/>
        <w:rPr>
          <w:sz w:val="16"/>
          <w:szCs w:val="16"/>
        </w:rPr>
      </w:pPr>
      <w:r>
        <w:rPr>
          <w:sz w:val="16"/>
          <w:szCs w:val="16"/>
        </w:rPr>
        <w:t xml:space="preserve">Hwang, J., Jeong, J. H., Yoon, S. J., Park, K. W., Kim, E. J., Yoon, B., Jang, J. W., Kim, H. J., Hong, J. Y., Lee, J. M., Park, H., Kang, J. H., Choi, Y. H., Park, G., Hong, J., Byun, M. S., Yi, D., Kim, Y. K., Lee, D. Y., &amp; Choi, S. H. (2019). Clinical and Biomarker Characteristics According to Clinical Spectrum of Alzheimer's Disease (AD) in the Validation Cohort of Korean Brain Aging Study for the Early Diagnosis and Prediction of AD. Journal of clinical medicine, 8(3), 341. </w:t>
      </w:r>
      <w:hyperlink r:id="rId22">
        <w:r>
          <w:rPr>
            <w:color w:val="1155CC"/>
            <w:sz w:val="16"/>
            <w:szCs w:val="16"/>
            <w:u w:val="single"/>
          </w:rPr>
          <w:t>https://doi.org/10.3390/jcm8030341</w:t>
        </w:r>
      </w:hyperlink>
    </w:p>
    <w:p>
      <w:pPr>
        <w:pStyle w:val="Normal"/>
        <w:numPr>
          <w:ilvl w:val="0"/>
          <w:numId w:val="1"/>
        </w:numPr>
        <w:spacing w:before="0" w:after="200"/>
        <w:jc w:val="both"/>
        <w:rPr>
          <w:sz w:val="16"/>
          <w:szCs w:val="16"/>
        </w:rPr>
      </w:pPr>
      <w:r>
        <w:rPr>
          <w:sz w:val="16"/>
          <w:szCs w:val="16"/>
        </w:rPr>
        <w:t xml:space="preserve">Shaw, L. M., Vanderstichele, H., Knapik-Czajka, M., Clark, C. M., Aisen, P. S., Petersen, R. C., Blennow, K., Soares, H., Simon, A., Lewczuk, P., Dean, R., Siemers, E., Potter, W., Lee, V. M., Trojanowski, J. Q., &amp; Alzheimer's Disease Neuroimaging Initiative (2009). Cerebrospinal fluid biomarker signature in Alzheimer's disease neuroimaging initiative subjects. Annals of neurology, 65(4), 403–413. </w:t>
      </w:r>
      <w:hyperlink r:id="rId23">
        <w:r>
          <w:rPr>
            <w:color w:val="1155CC"/>
            <w:sz w:val="16"/>
            <w:szCs w:val="16"/>
            <w:u w:val="single"/>
          </w:rPr>
          <w:t>https://doi.org/10.1002/ana.21610</w:t>
        </w:r>
      </w:hyperlink>
    </w:p>
    <w:p>
      <w:pPr>
        <w:pStyle w:val="Normal"/>
        <w:numPr>
          <w:ilvl w:val="0"/>
          <w:numId w:val="1"/>
        </w:numPr>
        <w:spacing w:before="0" w:after="200"/>
        <w:jc w:val="both"/>
        <w:rPr>
          <w:sz w:val="16"/>
          <w:szCs w:val="16"/>
        </w:rPr>
      </w:pPr>
      <w:r>
        <w:rPr>
          <w:sz w:val="16"/>
          <w:szCs w:val="16"/>
        </w:rPr>
        <w:t xml:space="preserve">Smirnov, D. S., Ashton, N. J., Blennow, K., Zetterberg, H., Simrén, J., Lantero-Rodriguez, J., Karikari, T. K., Hiniker, A., Rissman, R. A., Salmon, D. P., &amp; Galasko, D. (2022). Plasma biomarkers for Alzheimer's Disease in relation to neuropathology and cognitive change. Acta neuropathologica, 143(4), 487–503. </w:t>
      </w:r>
      <w:hyperlink r:id="rId24">
        <w:r>
          <w:rPr>
            <w:color w:val="1155CC"/>
            <w:sz w:val="16"/>
            <w:szCs w:val="16"/>
            <w:u w:val="single"/>
          </w:rPr>
          <w:t>https://doi.org/10.1007/s00401-022-02408-5</w:t>
        </w:r>
      </w:hyperlink>
    </w:p>
    <w:p>
      <w:pPr>
        <w:pStyle w:val="Normal"/>
        <w:numPr>
          <w:ilvl w:val="0"/>
          <w:numId w:val="1"/>
        </w:numPr>
        <w:spacing w:before="0" w:after="200"/>
        <w:jc w:val="both"/>
        <w:rPr>
          <w:sz w:val="16"/>
          <w:szCs w:val="16"/>
        </w:rPr>
      </w:pPr>
      <w:r>
        <w:rPr>
          <w:sz w:val="16"/>
          <w:szCs w:val="16"/>
        </w:rPr>
        <w:t xml:space="preserve">Ossenkoppele, R., Rabinovici, G. D., Smith, R., Cho, H., Schöll, M., Strandberg, O., Palmqvist, S., Mattsson, N., Janelidze, S., Santillo, A., Ohlsson, T., Jögi, J., Tsai, R., La Joie, R., Kramer, J., Boxer, A. L., Gorno-Tempini, M. L., Miller, B. L., Choi, J. Y., Ryu, Y. H., … Hansson, O. (2018). Discriminative Accuracy of [18F]flortaucipir Positron Emission Tomography for Alzheimer Disease vs Other Neurodegenerative Disorders. JAMA, 320(11), 1151–1162. </w:t>
      </w:r>
      <w:hyperlink r:id="rId25">
        <w:r>
          <w:rPr>
            <w:color w:val="1155CC"/>
            <w:sz w:val="16"/>
            <w:szCs w:val="16"/>
            <w:u w:val="single"/>
          </w:rPr>
          <w:t>https://doi.org/10.1001/jama.2018.12917</w:t>
        </w:r>
      </w:hyperlink>
    </w:p>
    <w:p>
      <w:pPr>
        <w:pStyle w:val="Normal"/>
        <w:numPr>
          <w:ilvl w:val="0"/>
          <w:numId w:val="1"/>
        </w:numPr>
        <w:spacing w:before="0" w:after="200"/>
        <w:jc w:val="both"/>
        <w:rPr>
          <w:sz w:val="16"/>
          <w:szCs w:val="16"/>
        </w:rPr>
      </w:pPr>
      <w:r>
        <w:rPr>
          <w:sz w:val="16"/>
          <w:szCs w:val="16"/>
        </w:rPr>
        <w:t xml:space="preserve">Mattsson-Carlgren, N., Leuzy, A., Janelidze, S., Palmqvist, S., Stomrud, E., Strandberg, O., Smith, R., &amp; Hansson, O. (2020). The implications of different approaches to define AT(N) in Alzheimer disease. Neurology, 94(21), e2233–e2244. </w:t>
      </w:r>
      <w:hyperlink r:id="rId26">
        <w:r>
          <w:rPr>
            <w:color w:val="1155CC"/>
            <w:sz w:val="16"/>
            <w:szCs w:val="16"/>
            <w:u w:val="single"/>
          </w:rPr>
          <w:t>https://doi.org/10.1212/WNL.0000000000009485</w:t>
        </w:r>
      </w:hyperlink>
    </w:p>
    <w:p>
      <w:pPr>
        <w:pStyle w:val="Normal"/>
        <w:numPr>
          <w:ilvl w:val="0"/>
          <w:numId w:val="1"/>
        </w:numPr>
        <w:spacing w:before="0" w:after="200"/>
        <w:jc w:val="both"/>
        <w:rPr>
          <w:sz w:val="16"/>
          <w:szCs w:val="16"/>
        </w:rPr>
      </w:pPr>
      <w:r>
        <w:rPr>
          <w:sz w:val="16"/>
          <w:szCs w:val="16"/>
        </w:rPr>
        <w:t xml:space="preserve">Cullen, N. C., Leuzy, A., Janelidze, S., Palmqvist, S., Svenningsson, A. L., Stomrud, E., Dage, J. L., Mattsson-Carlgren, N., &amp; Hansson, O. (2021). Plasma biomarkers of Alzheimer's disease improve prediction of cognitive decline in cognitively unimpaired elderly populations. Nature communications, 12(1), 3555. </w:t>
      </w:r>
      <w:hyperlink r:id="rId27">
        <w:r>
          <w:rPr>
            <w:color w:val="1155CC"/>
            <w:sz w:val="16"/>
            <w:szCs w:val="16"/>
            <w:u w:val="single"/>
          </w:rPr>
          <w:t>https://doi.org/10.1038/s41467-021-23746-0</w:t>
        </w:r>
      </w:hyperlink>
    </w:p>
    <w:p>
      <w:pPr>
        <w:pStyle w:val="Normal"/>
        <w:numPr>
          <w:ilvl w:val="0"/>
          <w:numId w:val="1"/>
        </w:numPr>
        <w:spacing w:before="0" w:after="200"/>
        <w:jc w:val="both"/>
        <w:rPr>
          <w:sz w:val="16"/>
          <w:szCs w:val="16"/>
        </w:rPr>
      </w:pPr>
      <w:r>
        <w:rPr>
          <w:sz w:val="16"/>
          <w:szCs w:val="16"/>
        </w:rPr>
        <w:t xml:space="preserve">Seo, E. H., Lim, H. J., Yoon, H. J., Choi, K. Y., Lee, J. J., Park, J. Y., Choi, S. H., Kim, H., Kim, B. C., &amp; Lee, K. H. (2021). Visuospatial memory impairment as a potential neurocognitive marker to predict tau pathology in Alzheimer's continuum. Alzheimer's research &amp; therapy, 13(1), 167. </w:t>
      </w:r>
      <w:hyperlink r:id="rId28">
        <w:r>
          <w:rPr>
            <w:color w:val="1155CC"/>
            <w:sz w:val="16"/>
            <w:szCs w:val="16"/>
            <w:u w:val="single"/>
          </w:rPr>
          <w:t>https://doi.org/10.1186/s13195-021-00909-1</w:t>
        </w:r>
      </w:hyperlink>
    </w:p>
    <w:p>
      <w:pPr>
        <w:pStyle w:val="Normal"/>
        <w:numPr>
          <w:ilvl w:val="0"/>
          <w:numId w:val="1"/>
        </w:numPr>
        <w:spacing w:before="0" w:after="200"/>
        <w:jc w:val="both"/>
        <w:rPr>
          <w:sz w:val="16"/>
          <w:szCs w:val="16"/>
        </w:rPr>
      </w:pPr>
      <w:r>
        <w:rPr>
          <w:sz w:val="16"/>
          <w:szCs w:val="16"/>
        </w:rPr>
        <w:t xml:space="preserve">Calvin, C. M., de Boer, C., Raymont, V., Gallacher, J., Koychev, I., &amp; European Prevention of Alzheimer’s Dementia (EPAD) Consortium (2020). Prediction of Alzheimer's disease biomarker status defined by the 'ATN framework' among cognitively healthy individuals: results from the EPAD longitudinal cohort study. Alzheimer's research &amp; therapy, 12(1), 143. </w:t>
      </w:r>
      <w:hyperlink r:id="rId29">
        <w:r>
          <w:rPr>
            <w:color w:val="1155CC"/>
            <w:sz w:val="16"/>
            <w:szCs w:val="16"/>
            <w:u w:val="single"/>
          </w:rPr>
          <w:t>https://doi.org/10.1186/s13195-020-00711-5</w:t>
        </w:r>
      </w:hyperlink>
    </w:p>
    <w:p>
      <w:pPr>
        <w:pStyle w:val="Normal"/>
        <w:numPr>
          <w:ilvl w:val="0"/>
          <w:numId w:val="1"/>
        </w:numPr>
        <w:spacing w:before="0" w:after="200"/>
        <w:jc w:val="both"/>
        <w:rPr>
          <w:sz w:val="16"/>
          <w:szCs w:val="16"/>
        </w:rPr>
      </w:pPr>
      <w:r>
        <w:rPr>
          <w:sz w:val="16"/>
          <w:szCs w:val="16"/>
        </w:rPr>
        <w:t xml:space="preserve">Altomare, D., de Wilde, A., Ossenkoppele, R., Pelkmans, W., Bouwman, F., Groot, C., van Maurik, I., Zwan, M., Yaqub, M., Barkhof, F., van Berckel, B. N., Teunissen, C. E., Frisoni, G. B., Scheltens, P., &amp; van der Flier, W. M. (2019). Applying the ATN scheme in a memory clinic population: The ABIDE project. Neurology, 93(17), e1635–e1646. </w:t>
      </w:r>
      <w:hyperlink r:id="rId30">
        <w:r>
          <w:rPr>
            <w:color w:val="1155CC"/>
            <w:sz w:val="16"/>
            <w:szCs w:val="16"/>
            <w:u w:val="single"/>
          </w:rPr>
          <w:t>https://doi.org/10.1212/WNL.0000000000008361</w:t>
        </w:r>
      </w:hyperlink>
    </w:p>
    <w:p>
      <w:pPr>
        <w:pStyle w:val="Normal"/>
        <w:numPr>
          <w:ilvl w:val="0"/>
          <w:numId w:val="1"/>
        </w:numPr>
        <w:spacing w:before="0" w:after="200"/>
        <w:jc w:val="both"/>
        <w:rPr>
          <w:sz w:val="16"/>
          <w:szCs w:val="16"/>
        </w:rPr>
      </w:pPr>
      <w:r>
        <w:rPr>
          <w:sz w:val="16"/>
          <w:szCs w:val="16"/>
        </w:rPr>
        <w:t xml:space="preserve">Hansson, O., Seibyl, J., Stomrud, E., Zetterberg, H., Trojanowski, J. Q., Bittner, T., Lifke, V., Corradini, V., Eichenlaub, U., Batrla, R., Buck, K., Zink, K., Rabe, C., Blennow, K., Shaw, L. M., Swedish BioFINDER study group, &amp; Alzheimer's Disease Neuroimaging Initiative (2018). CSF biomarkers of Alzheimer's disease concord with amyloid-β PET and predict clinical progression: A study of fully automated immunoassays in BioFINDER and ADNI cohorts. Alzheimer's &amp; dementia : the journal of the Alzheimer's Association, 14(11), 1470–1481. </w:t>
      </w:r>
      <w:hyperlink r:id="rId31">
        <w:r>
          <w:rPr>
            <w:color w:val="1155CC"/>
            <w:sz w:val="16"/>
            <w:szCs w:val="16"/>
            <w:u w:val="single"/>
          </w:rPr>
          <w:t>https://doi.org/10.1016/j.jalz.2018.01.010</w:t>
        </w:r>
      </w:hyperlink>
    </w:p>
    <w:p>
      <w:pPr>
        <w:pStyle w:val="Normal"/>
        <w:numPr>
          <w:ilvl w:val="0"/>
          <w:numId w:val="1"/>
        </w:numPr>
        <w:spacing w:before="0" w:after="200"/>
        <w:jc w:val="both"/>
        <w:rPr>
          <w:sz w:val="16"/>
          <w:szCs w:val="16"/>
        </w:rPr>
      </w:pPr>
      <w:r>
        <w:rPr>
          <w:sz w:val="16"/>
          <w:szCs w:val="16"/>
        </w:rPr>
        <w:t xml:space="preserve">Cohen, A. D., Mowrey, W., Weissfeld, L. A., Aizenstein, H. J., McDade, E., Mountz, J. M., Nebes, R. D., Saxton, J. A., Snitz, B., Dekosky, S., Williamson, J., Lopez, O. L., Price, J. C., Mathis, C. A., &amp; Klunk, W. E. (2013). Classification of amyloid-positivity in controls: comparison of visual read and quantitative approaches. NeuroImage, 71, 207–215. </w:t>
      </w:r>
      <w:hyperlink r:id="rId32">
        <w:r>
          <w:rPr>
            <w:color w:val="1155CC"/>
            <w:sz w:val="16"/>
            <w:szCs w:val="16"/>
            <w:u w:val="single"/>
          </w:rPr>
          <w:t>https://doi.org/10.1016/j.neuroimage.2013.01.015</w:t>
        </w:r>
      </w:hyperlink>
    </w:p>
    <w:p>
      <w:pPr>
        <w:pStyle w:val="Normal"/>
        <w:numPr>
          <w:ilvl w:val="0"/>
          <w:numId w:val="1"/>
        </w:numPr>
        <w:spacing w:before="0" w:after="200"/>
        <w:jc w:val="both"/>
        <w:rPr>
          <w:sz w:val="16"/>
          <w:szCs w:val="16"/>
        </w:rPr>
      </w:pPr>
      <w:r>
        <w:rPr>
          <w:sz w:val="16"/>
          <w:szCs w:val="16"/>
        </w:rPr>
        <w:t xml:space="preserve">Bellomo, G., Cataldi, S., Paciotti, S., Paolini Paoletti, F., Chiasserini, D., &amp; Parnetti, L. (2020). Measurement of CSF core Alzheimer disease biomarkers for routine clinical diagnosis: do fresh vs frozen samples differ?. Alzheimer's research &amp; therapy, 12(1), 121. </w:t>
      </w:r>
      <w:hyperlink r:id="rId33">
        <w:r>
          <w:rPr>
            <w:color w:val="1155CC"/>
            <w:sz w:val="16"/>
            <w:szCs w:val="16"/>
            <w:u w:val="single"/>
          </w:rPr>
          <w:t>https://doi.org/10.1186/s13195-020-00689-0</w:t>
        </w:r>
      </w:hyperlink>
    </w:p>
    <w:p>
      <w:pPr>
        <w:pStyle w:val="Normal"/>
        <w:numPr>
          <w:ilvl w:val="0"/>
          <w:numId w:val="1"/>
        </w:numPr>
        <w:spacing w:before="0" w:after="200"/>
        <w:jc w:val="both"/>
        <w:rPr>
          <w:sz w:val="16"/>
          <w:szCs w:val="16"/>
        </w:rPr>
      </w:pPr>
      <w:r>
        <w:rPr>
          <w:sz w:val="16"/>
          <w:szCs w:val="16"/>
        </w:rPr>
        <w:t xml:space="preserve">Ingala, S., De Boer, C., Masselink, L. A., Vergari, I., Lorenzini, L., Blennow, K., Chételat, G., Di Perri, C., Ewers, M., van der Flier, W. M., Fox, N. C., Gispert, J. D., Haller, S., Molinuevo, J. L., Muniz-Terrera, G., Mutsaerts, H. J., Ritchie, C. W., Ritchie, K., Schmidt, M., Schwarz, A. J., … EPAD consortium (2021). Application of the ATN classification scheme in a population without dementia: Findings from the EPAD cohort. Alzheimer's &amp; dementia : the journal of the Alzheimer's Association, 17(7), 1189–1204. </w:t>
      </w:r>
      <w:hyperlink r:id="rId34">
        <w:r>
          <w:rPr>
            <w:color w:val="1155CC"/>
            <w:sz w:val="16"/>
            <w:szCs w:val="16"/>
            <w:u w:val="single"/>
          </w:rPr>
          <w:t>https://doi.org/10.1002/alz.12292</w:t>
        </w:r>
      </w:hyperlink>
    </w:p>
    <w:p>
      <w:pPr>
        <w:pStyle w:val="Normal"/>
        <w:numPr>
          <w:ilvl w:val="0"/>
          <w:numId w:val="1"/>
        </w:numPr>
        <w:spacing w:before="0" w:after="200"/>
        <w:jc w:val="both"/>
        <w:rPr>
          <w:sz w:val="16"/>
          <w:szCs w:val="16"/>
        </w:rPr>
      </w:pPr>
      <w:r>
        <w:rPr>
          <w:sz w:val="16"/>
          <w:szCs w:val="16"/>
        </w:rPr>
        <w:t xml:space="preserve">Soldan, A., Pettigrew, C., Fagan, A. M., Schindler, S. E., Moghekar, A., Fowler, C., Li, Q. X., Collins, S. J., Carlsson, C., Asthana, S., Masters, C. L., Johnson, S., Morris, J. C., Albert, M., &amp; Gross, A. L. (2019). ATN profiles among cognitively normal individuals and longitudinal cognitive outcomes. Neurology, 92(14), e1567–e1579. </w:t>
      </w:r>
      <w:hyperlink r:id="rId35">
        <w:r>
          <w:rPr>
            <w:color w:val="1155CC"/>
            <w:sz w:val="16"/>
            <w:szCs w:val="16"/>
            <w:u w:val="single"/>
          </w:rPr>
          <w:t>https://doi.org/10.1212/WNL.0000000000007248</w:t>
        </w:r>
      </w:hyperlink>
    </w:p>
    <w:p>
      <w:pPr>
        <w:pStyle w:val="Normal"/>
        <w:numPr>
          <w:ilvl w:val="0"/>
          <w:numId w:val="1"/>
        </w:numPr>
        <w:spacing w:before="0" w:after="200"/>
        <w:jc w:val="both"/>
        <w:rPr>
          <w:sz w:val="16"/>
          <w:szCs w:val="16"/>
        </w:rPr>
      </w:pPr>
      <w:r>
        <w:rPr>
          <w:sz w:val="16"/>
          <w:szCs w:val="16"/>
        </w:rPr>
        <w:t xml:space="preserve">Tan, M. S., Ji, X., Li, J. Q., Xu, W., Wang, H. F., Tan, C. C., Dong, Q., Zuo, C. T., Tan, L., Suckling, J., Yu, J. T., &amp; Alzheimer’s Disease Neuroimaging Initiative (2020). Longitudinal trajectories of Alzheimer's ATN biomarkers in elderly persons without dementia. Alzheimer's research &amp; therapy, 12(1), 55. </w:t>
      </w:r>
      <w:hyperlink r:id="rId36">
        <w:r>
          <w:rPr>
            <w:color w:val="1155CC"/>
            <w:sz w:val="16"/>
            <w:szCs w:val="16"/>
            <w:u w:val="single"/>
          </w:rPr>
          <w:t>https://doi.org/10.1186/s13195-020-00621-6</w:t>
        </w:r>
      </w:hyperlink>
    </w:p>
    <w:p>
      <w:pPr>
        <w:pStyle w:val="Normal"/>
        <w:numPr>
          <w:ilvl w:val="0"/>
          <w:numId w:val="1"/>
        </w:numPr>
        <w:spacing w:before="0" w:after="200"/>
        <w:jc w:val="both"/>
        <w:rPr>
          <w:sz w:val="16"/>
          <w:szCs w:val="16"/>
        </w:rPr>
      </w:pPr>
      <w:r>
        <w:rPr>
          <w:sz w:val="16"/>
          <w:szCs w:val="16"/>
        </w:rPr>
        <w:t xml:space="preserve">Cousins, K., Irwin, D. J., Wolk, D. A., Lee, E. B., Shaw, L., Trojanowski, J. Q., Da Re, F., Gibbons, G. S., Grossman, M., &amp; Phillips, J. S. (2020). ATN status in amnestic and non-amnestic Alzheimer's disease and frontotemporal lobar degeneration. Brain : a journal of neurology, 143(7), 2295–2311. </w:t>
      </w:r>
      <w:hyperlink r:id="rId37">
        <w:r>
          <w:rPr>
            <w:color w:val="1155CC"/>
            <w:sz w:val="16"/>
            <w:szCs w:val="16"/>
            <w:u w:val="single"/>
          </w:rPr>
          <w:t>https://doi.org/10.1093/brain/awaa165</w:t>
        </w:r>
      </w:hyperlink>
    </w:p>
    <w:p>
      <w:pPr>
        <w:pStyle w:val="Normal"/>
        <w:numPr>
          <w:ilvl w:val="0"/>
          <w:numId w:val="1"/>
        </w:numPr>
        <w:spacing w:before="0" w:after="200"/>
        <w:jc w:val="both"/>
        <w:rPr>
          <w:sz w:val="16"/>
          <w:szCs w:val="16"/>
        </w:rPr>
      </w:pPr>
      <w:r>
        <w:rPr>
          <w:sz w:val="16"/>
          <w:szCs w:val="16"/>
        </w:rPr>
        <w:t xml:space="preserve">Ezzati, A., Abdulkadir, A., Jack, C. R., Jr, Thompson, P. M., Harvey, D. J., Truelove-Hill, M., Sreepada, L. P., Davatzikos, C., Alzheimer's Disease Neuroimaging Initiative, &amp; Lipton, R. B. (2021). Predictive value of ATN biomarker profiles in estimating disease progression in Alzheimer's disease dementia. Alzheimer's &amp; dementia : the journal of the Alzheimer's Association, 17(11), 1855–1867. </w:t>
      </w:r>
      <w:hyperlink r:id="rId38">
        <w:r>
          <w:rPr>
            <w:color w:val="1155CC"/>
            <w:sz w:val="16"/>
            <w:szCs w:val="16"/>
            <w:u w:val="single"/>
          </w:rPr>
          <w:t>https://doi.org/10.1002/alz.12491</w:t>
        </w:r>
      </w:hyperlink>
    </w:p>
    <w:p>
      <w:pPr>
        <w:pStyle w:val="Normal"/>
        <w:numPr>
          <w:ilvl w:val="0"/>
          <w:numId w:val="1"/>
        </w:numPr>
        <w:spacing w:before="0" w:after="200"/>
        <w:jc w:val="both"/>
        <w:rPr>
          <w:sz w:val="16"/>
          <w:szCs w:val="16"/>
        </w:rPr>
      </w:pPr>
      <w:r>
        <w:rPr>
          <w:sz w:val="16"/>
          <w:szCs w:val="16"/>
        </w:rPr>
        <w:t xml:space="preserve">Nordengen, K., Kirsebom, B. E., Henjum, K., Selnes, P., Gísladóttir, B., Wettergreen, M., Torsetnes, S. B., Grøntvedt, G. R., Waterloo, K. K., Aarsland, D., Nilsson, L., &amp; Fladby, T. (2019). Glial activation and inflammation along the Alzheimer's disease continuum. Journal of neuroinflammation, 16(1), 46. </w:t>
      </w:r>
      <w:hyperlink r:id="rId39">
        <w:r>
          <w:rPr>
            <w:color w:val="1155CC"/>
            <w:sz w:val="16"/>
            <w:szCs w:val="16"/>
            <w:u w:val="single"/>
          </w:rPr>
          <w:t>https://doi.org/10.1186/s12974-019-1399-2</w:t>
        </w:r>
      </w:hyperlink>
    </w:p>
    <w:p>
      <w:pPr>
        <w:pStyle w:val="Normal"/>
        <w:numPr>
          <w:ilvl w:val="0"/>
          <w:numId w:val="1"/>
        </w:numPr>
        <w:spacing w:before="0" w:after="200"/>
        <w:jc w:val="both"/>
        <w:rPr>
          <w:sz w:val="16"/>
          <w:szCs w:val="16"/>
        </w:rPr>
      </w:pPr>
      <w:r>
        <w:rPr>
          <w:sz w:val="16"/>
          <w:szCs w:val="16"/>
        </w:rPr>
        <w:t xml:space="preserve">Cedres, N., Ekman, U., Poulakis, K., Shams, S., Cavallin, L., Muehlboeck, S., Granberg, T., Wahlund, L. O., Ferreira, D., Westman, E., &amp; Alzheimer’s Disease Neuroimaging Initiative (2020). Brain Atrophy Subtypes and the ATN Classification Scheme in Alzheimer's Disease. Neuro-degenerative diseases, 20(4), 153–164. </w:t>
      </w:r>
      <w:hyperlink r:id="rId40">
        <w:r>
          <w:rPr>
            <w:color w:val="1155CC"/>
            <w:sz w:val="16"/>
            <w:szCs w:val="16"/>
            <w:u w:val="single"/>
          </w:rPr>
          <w:t>https://doi.org/10.1159/000515322</w:t>
        </w:r>
      </w:hyperlink>
    </w:p>
    <w:p>
      <w:pPr>
        <w:pStyle w:val="Normal"/>
        <w:numPr>
          <w:ilvl w:val="0"/>
          <w:numId w:val="1"/>
        </w:numPr>
        <w:spacing w:before="0" w:after="200"/>
        <w:jc w:val="both"/>
        <w:rPr>
          <w:sz w:val="16"/>
          <w:szCs w:val="16"/>
        </w:rPr>
      </w:pPr>
      <w:r>
        <w:rPr>
          <w:sz w:val="16"/>
          <w:szCs w:val="16"/>
        </w:rPr>
        <w:t xml:space="preserve">Karikari, T. K., Emeršič, A., Vrillon, A., Lantero-Rodriguez, J., Ashton, N. J., Kramberger, M. G., Dumurgier, J., Hourregue, C., Čučnik, S., Brinkmalm, G., Rot, U., Zetterberg, H., Paquet, C., &amp; Blennow, K. (2021). Head-to-head comparison of clinical performance of CSF phospho-tau T181 and T217 biomarkers for Alzheimer's disease diagnosis. Alzheimer's &amp; dementia : the journal of the Alzheimer's Association, 17(5), 755–767. </w:t>
      </w:r>
      <w:hyperlink r:id="rId41">
        <w:r>
          <w:rPr>
            <w:color w:val="1155CC"/>
            <w:sz w:val="16"/>
            <w:szCs w:val="16"/>
            <w:u w:val="single"/>
          </w:rPr>
          <w:t>https://doi.org/10.1002/alz.12236</w:t>
        </w:r>
      </w:hyperlink>
    </w:p>
    <w:p>
      <w:pPr>
        <w:pStyle w:val="Normal"/>
        <w:numPr>
          <w:ilvl w:val="0"/>
          <w:numId w:val="1"/>
        </w:numPr>
        <w:spacing w:before="0" w:after="200"/>
        <w:jc w:val="both"/>
        <w:rPr>
          <w:sz w:val="16"/>
          <w:szCs w:val="16"/>
        </w:rPr>
      </w:pPr>
      <w:r>
        <w:rPr>
          <w:sz w:val="16"/>
          <w:szCs w:val="16"/>
        </w:rPr>
        <w:t xml:space="preserve">Lam, S., Lipton, R. B., Harvey, D. J., Zammit, A. R., Ezzati, A., &amp; Alzheimer's Disease Neuroimaging Initiative (2021). White matter hyperintensities and cognition across different Alzheimer's biomarker profiles. Journal of the American Geriatrics Society, 69(7), 1906–1915. </w:t>
      </w:r>
      <w:hyperlink r:id="rId42">
        <w:r>
          <w:rPr>
            <w:color w:val="1155CC"/>
            <w:sz w:val="16"/>
            <w:szCs w:val="16"/>
            <w:u w:val="single"/>
          </w:rPr>
          <w:t>https://doi.org/10.1111/jgs.17173</w:t>
        </w:r>
      </w:hyperlink>
    </w:p>
    <w:p>
      <w:pPr>
        <w:pStyle w:val="Normal"/>
        <w:numPr>
          <w:ilvl w:val="0"/>
          <w:numId w:val="1"/>
        </w:numPr>
        <w:spacing w:before="0" w:after="200"/>
        <w:jc w:val="both"/>
        <w:rPr>
          <w:sz w:val="16"/>
          <w:szCs w:val="16"/>
        </w:rPr>
      </w:pPr>
      <w:r>
        <w:rPr>
          <w:sz w:val="16"/>
          <w:szCs w:val="16"/>
        </w:rPr>
        <w:t xml:space="preserve">Ebenau, J. L., Timmers, T., Wesselman, L., Verberk, I., Verfaillie, S., Slot, R., van Harten, A. C., Teunissen, C. E., Barkhof, F., van den Bosch, K. A., van Leeuwenstijn, M., Tomassen, J., Braber, A. D., Visser, P. J., Prins, N. D., Sikkes, S., Scheltens, P., van Berckel, B., &amp; van der Flier, W. M. (2020). ATN classification and clinical progression in subjective cognitive decline: The SCIENCe project. Neurology, 95(1), e46–e58. </w:t>
      </w:r>
      <w:hyperlink r:id="rId43">
        <w:r>
          <w:rPr>
            <w:color w:val="1155CC"/>
            <w:sz w:val="16"/>
            <w:szCs w:val="16"/>
            <w:u w:val="single"/>
          </w:rPr>
          <w:t>https://doi.org/10.1212/WNL.0000000000009724</w:t>
        </w:r>
      </w:hyperlink>
    </w:p>
    <w:p>
      <w:pPr>
        <w:pStyle w:val="Normal"/>
        <w:numPr>
          <w:ilvl w:val="0"/>
          <w:numId w:val="1"/>
        </w:numPr>
        <w:spacing w:before="0" w:after="200"/>
        <w:jc w:val="both"/>
        <w:rPr>
          <w:sz w:val="16"/>
          <w:szCs w:val="16"/>
        </w:rPr>
      </w:pPr>
      <w:r>
        <w:rPr>
          <w:sz w:val="16"/>
          <w:szCs w:val="16"/>
        </w:rPr>
        <w:t xml:space="preserve">Contador, J., Pérez-Millán, A., Tort-Merino, A., Balasa, M., Falgàs, N., Olives, J., Castellví, M., Borrego-Écija, S., Bosch, B., Fernández-Villullas, G., Ramos-Campoy, O., Antonell, A., Bargalló, N., Sanchez-Valle, R., Sala-Llonch, R., Lladó, A., &amp; Alzheimer's Disease Neuroimaging Initiative (2021). Longitudinal brain atrophy and CSF biomarkers in early-onset Alzheimer's disease. NeuroImage. Clinical, 32, 102804. </w:t>
      </w:r>
      <w:hyperlink r:id="rId44">
        <w:r>
          <w:rPr>
            <w:color w:val="1155CC"/>
            <w:sz w:val="16"/>
            <w:szCs w:val="16"/>
            <w:u w:val="single"/>
          </w:rPr>
          <w:t>https://doi.org/10.1016/j.nicl.2021.102804</w:t>
        </w:r>
      </w:hyperlink>
    </w:p>
    <w:p>
      <w:pPr>
        <w:pStyle w:val="Normal"/>
        <w:numPr>
          <w:ilvl w:val="0"/>
          <w:numId w:val="1"/>
        </w:numPr>
        <w:spacing w:before="0" w:after="200"/>
        <w:jc w:val="both"/>
        <w:rPr>
          <w:sz w:val="16"/>
          <w:szCs w:val="16"/>
        </w:rPr>
      </w:pPr>
      <w:r>
        <w:rPr>
          <w:sz w:val="16"/>
          <w:szCs w:val="16"/>
        </w:rPr>
        <w:t xml:space="preserve">Eckerström, C., Svensson, J., Kettunen, P., Jonsson, M., &amp; Eckerström, M. (2021). Evaluation of the ATN model in a longitudinal memory clinic sample with different underlying disorders. Alzheimer's &amp; dementia (Amsterdam, Netherlands), 13(1), e12031. </w:t>
      </w:r>
      <w:hyperlink r:id="rId45">
        <w:r>
          <w:rPr>
            <w:color w:val="1155CC"/>
            <w:sz w:val="16"/>
            <w:szCs w:val="16"/>
            <w:u w:val="single"/>
          </w:rPr>
          <w:t>https://doi.org/10.1002/dad2.12031</w:t>
        </w:r>
      </w:hyperlink>
    </w:p>
    <w:p>
      <w:pPr>
        <w:pStyle w:val="Normal"/>
        <w:numPr>
          <w:ilvl w:val="0"/>
          <w:numId w:val="1"/>
        </w:numPr>
        <w:spacing w:before="0" w:after="200"/>
        <w:jc w:val="both"/>
        <w:rPr>
          <w:sz w:val="16"/>
          <w:szCs w:val="16"/>
        </w:rPr>
      </w:pPr>
      <w:r>
        <w:rPr>
          <w:sz w:val="16"/>
          <w:szCs w:val="16"/>
        </w:rPr>
        <w:t xml:space="preserve">Bucci, M., Chiotis, K., Nordberg, A., &amp; Alzheimer’s Disease Neuroimaging Initiative (2021). Alzheimer's disease profiled by fluid and imaging markers: tau PET best predicts cognitive decline. Molecular psychiatry, 26(10), 5888–5898. </w:t>
      </w:r>
      <w:hyperlink r:id="rId46">
        <w:r>
          <w:rPr>
            <w:color w:val="1155CC"/>
            <w:sz w:val="16"/>
            <w:szCs w:val="16"/>
            <w:u w:val="single"/>
          </w:rPr>
          <w:t>https://doi.org/10.1038/s41380-021-01263-2</w:t>
        </w:r>
      </w:hyperlink>
    </w:p>
    <w:p>
      <w:pPr>
        <w:pStyle w:val="Normal"/>
        <w:numPr>
          <w:ilvl w:val="0"/>
          <w:numId w:val="1"/>
        </w:numPr>
        <w:spacing w:before="0" w:after="200"/>
        <w:jc w:val="both"/>
        <w:rPr>
          <w:sz w:val="16"/>
          <w:szCs w:val="16"/>
        </w:rPr>
      </w:pPr>
      <w:r>
        <w:rPr>
          <w:sz w:val="16"/>
          <w:szCs w:val="16"/>
        </w:rPr>
        <w:t xml:space="preserve">Rosenberg, A., Solomon, A., Soininen, H., Visser, P. J., Blennow, K., Hartmann, T., Kivipelto, M., &amp; LipiDiDiet clinical study group (2021). Research diagnostic criteria for Alzheimer's disease: findings from the LipiDiDiet randomized controlled trial. Alzheimer's research &amp; therapy, 13(1), 64. </w:t>
      </w:r>
      <w:hyperlink r:id="rId47">
        <w:r>
          <w:rPr>
            <w:color w:val="1155CC"/>
            <w:sz w:val="16"/>
            <w:szCs w:val="16"/>
            <w:u w:val="single"/>
          </w:rPr>
          <w:t>https://doi.org/10.1186/s13195-021-00799-3</w:t>
        </w:r>
      </w:hyperlink>
    </w:p>
    <w:p>
      <w:pPr>
        <w:pStyle w:val="Normal"/>
        <w:numPr>
          <w:ilvl w:val="0"/>
          <w:numId w:val="1"/>
        </w:numPr>
        <w:spacing w:before="0" w:after="200"/>
        <w:jc w:val="both"/>
        <w:rPr>
          <w:sz w:val="16"/>
          <w:szCs w:val="16"/>
        </w:rPr>
      </w:pPr>
      <w:r>
        <w:rPr>
          <w:sz w:val="16"/>
          <w:szCs w:val="16"/>
        </w:rPr>
        <w:t xml:space="preserve">Mondragón, J. D., Maurits, N. M., De Deyn, P. P., &amp; Alzheimer's Disease Neuroimaging Initiative (2021). Functional connectivity differences in Alzheimer's disease and amnestic mild cognitive impairment associated with AT(N) classification and anosognosia. Neurobiology of aging, 101, 22–39. </w:t>
      </w:r>
      <w:hyperlink r:id="rId48">
        <w:r>
          <w:rPr>
            <w:color w:val="1155CC"/>
            <w:sz w:val="16"/>
            <w:szCs w:val="16"/>
            <w:u w:val="single"/>
          </w:rPr>
          <w:t>https://doi.org/10.1016/j.neurobiolaging.2020.12.021</w:t>
        </w:r>
      </w:hyperlink>
    </w:p>
    <w:p>
      <w:pPr>
        <w:pStyle w:val="Normal"/>
        <w:numPr>
          <w:ilvl w:val="0"/>
          <w:numId w:val="1"/>
        </w:numPr>
        <w:spacing w:before="0" w:after="200"/>
        <w:jc w:val="both"/>
        <w:rPr>
          <w:sz w:val="16"/>
          <w:szCs w:val="16"/>
        </w:rPr>
      </w:pPr>
      <w:r>
        <w:rPr>
          <w:sz w:val="16"/>
          <w:szCs w:val="16"/>
        </w:rPr>
        <w:t xml:space="preserve">Ou, Y. N., Xu, W., Li, J. Q., Guo, Y., Cui, M., Chen, K. L., Huang, Y. Y., Dong, Q., Tan, L., Yu, J. T., &amp; Alzheimer’s Disease Neuroimaging Initiative (2019). FDG-PET as an independent biomarker for Alzheimer's biological diagnosis: a longitudinal study. Alzheimer's research &amp; therapy, 11(1), 57. </w:t>
      </w:r>
      <w:hyperlink r:id="rId49">
        <w:r>
          <w:rPr>
            <w:color w:val="1155CC"/>
            <w:sz w:val="16"/>
            <w:szCs w:val="16"/>
            <w:u w:val="single"/>
          </w:rPr>
          <w:t>https://doi.org/10.1186/s13195-019-0512-1</w:t>
        </w:r>
      </w:hyperlink>
    </w:p>
    <w:p>
      <w:pPr>
        <w:pStyle w:val="Normal"/>
        <w:numPr>
          <w:ilvl w:val="0"/>
          <w:numId w:val="1"/>
        </w:numPr>
        <w:spacing w:before="0" w:after="200"/>
        <w:jc w:val="both"/>
        <w:rPr>
          <w:sz w:val="16"/>
          <w:szCs w:val="16"/>
        </w:rPr>
      </w:pPr>
      <w:r>
        <w:rPr>
          <w:sz w:val="16"/>
          <w:szCs w:val="16"/>
        </w:rPr>
        <w:t xml:space="preserve">Kern, S., Zetterberg, H., Kern, J., Zettergren, A., Waern, M., Höglund, K., Andreasson, U., Wetterberg, H., Börjesson-Hanson, A., Blennow, K., &amp; Skoog, I. (2018). Prevalence of preclinical Alzheimer disease: Comparison of current classification systems. Neurology, 90(19), e1682–e1691. </w:t>
      </w:r>
      <w:hyperlink r:id="rId50">
        <w:r>
          <w:rPr>
            <w:color w:val="1155CC"/>
            <w:sz w:val="16"/>
            <w:szCs w:val="16"/>
            <w:u w:val="single"/>
          </w:rPr>
          <w:t>https://doi.org/10.1212/WNL.0000000000005476</w:t>
        </w:r>
      </w:hyperlink>
    </w:p>
    <w:p>
      <w:pPr>
        <w:pStyle w:val="Normal"/>
        <w:numPr>
          <w:ilvl w:val="0"/>
          <w:numId w:val="1"/>
        </w:numPr>
        <w:spacing w:before="0" w:after="200"/>
        <w:jc w:val="both"/>
        <w:rPr>
          <w:sz w:val="16"/>
          <w:szCs w:val="16"/>
        </w:rPr>
      </w:pPr>
      <w:r>
        <w:rPr>
          <w:sz w:val="16"/>
          <w:szCs w:val="16"/>
        </w:rPr>
        <w:t xml:space="preserve">Ottoy, J., Niemantsverdriet, E., Verhaeghe, J., De Roeck, E., Struyfs, H., Somers, C., Wyffels, L., Ceyssens, S., Van Mossevelde, S., Van den Bossche, T., Van Broeckhoven, C., Ribbens, A., Bjerke, M., Stroobants, S., Engelborghs, S., &amp; Staelens, S. (2019). Association of short-term cognitive decline and MCI-to-AD dementia conversion with CSF, MRI, amyloid- and 18F-FDG-PET imaging. NeuroImage. Clinical, 22, 101771. </w:t>
      </w:r>
      <w:hyperlink r:id="rId51">
        <w:r>
          <w:rPr>
            <w:color w:val="1155CC"/>
            <w:sz w:val="16"/>
            <w:szCs w:val="16"/>
            <w:u w:val="single"/>
          </w:rPr>
          <w:t>https://doi.org/10.1016/j.nicl.2019.101771</w:t>
        </w:r>
      </w:hyperlink>
    </w:p>
    <w:p>
      <w:pPr>
        <w:pStyle w:val="Normal"/>
        <w:numPr>
          <w:ilvl w:val="0"/>
          <w:numId w:val="1"/>
        </w:numPr>
        <w:spacing w:before="0" w:after="200"/>
        <w:jc w:val="both"/>
        <w:rPr>
          <w:sz w:val="16"/>
          <w:szCs w:val="16"/>
        </w:rPr>
      </w:pPr>
      <w:r>
        <w:rPr>
          <w:sz w:val="16"/>
          <w:szCs w:val="16"/>
        </w:rPr>
        <w:t xml:space="preserve">De Kort, A. M., Kuiperij, H. B., Kersten, I., Versleijen, A., Schreuder, F., Van Nostrand, W. E., Greenberg, S. M., Klijn, C., Claassen, J., &amp; Verbeek, M. M. (2021). Normal cerebrospinal fluid concentrations of PDGFRβ in patients with cerebral amyloid angiopathy and Alzheimer's disease. Alzheimer's &amp; dementia : the journal of the Alzheimer's Association, 10.1002/alz.12506. Advance online publication. </w:t>
      </w:r>
      <w:hyperlink r:id="rId52">
        <w:r>
          <w:rPr>
            <w:color w:val="1155CC"/>
            <w:sz w:val="16"/>
            <w:szCs w:val="16"/>
            <w:u w:val="single"/>
          </w:rPr>
          <w:t>https://doi.org/10.1002/alz.12506</w:t>
        </w:r>
      </w:hyperlink>
    </w:p>
    <w:p>
      <w:pPr>
        <w:pStyle w:val="Normal"/>
        <w:numPr>
          <w:ilvl w:val="0"/>
          <w:numId w:val="1"/>
        </w:numPr>
        <w:spacing w:before="0" w:after="200"/>
        <w:jc w:val="both"/>
        <w:rPr>
          <w:sz w:val="16"/>
          <w:szCs w:val="16"/>
        </w:rPr>
      </w:pPr>
      <w:r>
        <w:rPr>
          <w:sz w:val="16"/>
          <w:szCs w:val="16"/>
        </w:rPr>
        <w:t xml:space="preserve">Pillai, J. A., Khrestian, M., Bena, J., Leverenz, J. B., &amp; Bekris, L. M. (2021). Temporal Ordering of Inflammatory Analytes sTNFR2 and sTREM2 in Relation to Alzheimer's Disease Biomarkers and Clinical Outcomes. Frontiers in aging neuroscience, 13, 676744. </w:t>
      </w:r>
      <w:hyperlink r:id="rId53">
        <w:r>
          <w:rPr>
            <w:color w:val="1155CC"/>
            <w:sz w:val="16"/>
            <w:szCs w:val="16"/>
            <w:u w:val="single"/>
          </w:rPr>
          <w:t>https://doi.org/10.3389/fnagi.2021.676744</w:t>
        </w:r>
      </w:hyperlink>
    </w:p>
    <w:p>
      <w:pPr>
        <w:pStyle w:val="Normal"/>
        <w:numPr>
          <w:ilvl w:val="0"/>
          <w:numId w:val="1"/>
        </w:numPr>
        <w:spacing w:before="0" w:after="200"/>
        <w:jc w:val="both"/>
        <w:rPr>
          <w:sz w:val="16"/>
          <w:szCs w:val="16"/>
        </w:rPr>
      </w:pPr>
      <w:r>
        <w:rPr>
          <w:sz w:val="16"/>
          <w:szCs w:val="16"/>
        </w:rPr>
        <w:t xml:space="preserve">Jang, J. W., Kim, Y., Kim, S., Park, S. W., Kwon, S. O., Park, Y. H., Lim, J. S., Youn, Y. C., Hun Kim, S., Kim, S., &amp; Alzheimer's Disease Neuroimaging Initiative (2020). Dynamic association between AT(N) profile and cognition mediated by cortical thickness in Alzheimer's continuum. NeuroImage. Clinical, 27, 102282. </w:t>
      </w:r>
      <w:hyperlink r:id="rId54">
        <w:r>
          <w:rPr>
            <w:color w:val="1155CC"/>
            <w:sz w:val="16"/>
            <w:szCs w:val="16"/>
            <w:u w:val="single"/>
          </w:rPr>
          <w:t>https://doi.org/10.1016/j.nicl.2020.102282</w:t>
        </w:r>
      </w:hyperlink>
    </w:p>
    <w:p>
      <w:pPr>
        <w:pStyle w:val="Normal"/>
        <w:numPr>
          <w:ilvl w:val="0"/>
          <w:numId w:val="1"/>
        </w:numPr>
        <w:spacing w:before="0" w:after="200"/>
        <w:jc w:val="both"/>
        <w:rPr>
          <w:sz w:val="16"/>
          <w:szCs w:val="16"/>
        </w:rPr>
      </w:pPr>
      <w:r>
        <w:rPr>
          <w:sz w:val="16"/>
          <w:szCs w:val="16"/>
        </w:rPr>
        <w:t xml:space="preserve">Li, K., Wang, S., Luo, X., Zeng, Q., Jiaerken, Y., Xu, X., Wang, C., Liu, X., Li, Z., Zhao, S., Zhang, T., Fu, Y., Chen, Y., Liu, Z., Zhou, J., Huang, P., &amp; Zhang, M. (2020). Progressive Memory Circuit Impairments along with Alzheimer's Disease Neuropathology Spread: Evidence from in vivo Neuroimaging. Cerebral cortex (New York, N.Y. : 1991), 30(11), 5863–5873. </w:t>
      </w:r>
      <w:hyperlink r:id="rId55">
        <w:r>
          <w:rPr>
            <w:color w:val="1155CC"/>
            <w:sz w:val="16"/>
            <w:szCs w:val="16"/>
            <w:u w:val="single"/>
          </w:rPr>
          <w:t>https://doi.org/10.1093/cercor/bhaa162</w:t>
        </w:r>
      </w:hyperlink>
    </w:p>
    <w:p>
      <w:pPr>
        <w:pStyle w:val="Normal"/>
        <w:numPr>
          <w:ilvl w:val="0"/>
          <w:numId w:val="1"/>
        </w:numPr>
        <w:spacing w:before="0" w:after="200"/>
        <w:jc w:val="both"/>
        <w:rPr>
          <w:sz w:val="16"/>
          <w:szCs w:val="16"/>
        </w:rPr>
      </w:pPr>
      <w:r>
        <w:rPr>
          <w:sz w:val="16"/>
          <w:szCs w:val="16"/>
        </w:rPr>
        <w:t xml:space="preserve">Li, K., Luo, X., Zeng, Q., Huang, P., Shen, Z., Xu, X., Xu, J., Wang, C., Zhou, J., Zhang, M., &amp; Alzheimer's Disease Neuroimaging Initiative (2019). Gray matter structural covariance networks changes along the Alzheimer's disease continuum. NeuroImage. Clinical, 23, 101828. </w:t>
      </w:r>
      <w:hyperlink r:id="rId56">
        <w:r>
          <w:rPr>
            <w:color w:val="1155CC"/>
            <w:sz w:val="16"/>
            <w:szCs w:val="16"/>
            <w:u w:val="single"/>
          </w:rPr>
          <w:t>https://doi.org/10.1016/j.nicl.2019.101828</w:t>
        </w:r>
      </w:hyperlink>
    </w:p>
    <w:p>
      <w:pPr>
        <w:pStyle w:val="Normal"/>
        <w:numPr>
          <w:ilvl w:val="0"/>
          <w:numId w:val="1"/>
        </w:numPr>
        <w:spacing w:before="0" w:after="200"/>
        <w:jc w:val="both"/>
        <w:rPr>
          <w:sz w:val="16"/>
          <w:szCs w:val="16"/>
        </w:rPr>
      </w:pPr>
      <w:r>
        <w:rPr>
          <w:sz w:val="16"/>
          <w:szCs w:val="16"/>
        </w:rPr>
        <w:t xml:space="preserve">Tsantzali, I., Boufidou, F., Sideri, E., Mavromatos, A., Papaioannou, M. G., Foska, A., Tollos, I., Paraskevas, S. G., Bonakis, A., Voumvourakis, K. I., Tsivgoulis, G., Kapaki, E., &amp; Paraskevas, G. P. (2021). From Cerebrospinal Fluid Neurochemistry to Clinical Diagnosis of Alzheimer's Disease in the Era of Anti-Amyloid Treatments. Report of Four Patients. Biomedicines, 9(10), 1376. </w:t>
      </w:r>
      <w:hyperlink r:id="rId57">
        <w:r>
          <w:rPr>
            <w:color w:val="1155CC"/>
            <w:sz w:val="16"/>
            <w:szCs w:val="16"/>
            <w:u w:val="single"/>
          </w:rPr>
          <w:t>https://doi.org/10.3390/biomedicines9101376</w:t>
        </w:r>
      </w:hyperlink>
    </w:p>
    <w:p>
      <w:pPr>
        <w:pStyle w:val="Normal"/>
        <w:numPr>
          <w:ilvl w:val="0"/>
          <w:numId w:val="1"/>
        </w:numPr>
        <w:spacing w:before="0" w:after="200"/>
        <w:jc w:val="both"/>
        <w:rPr>
          <w:sz w:val="16"/>
          <w:szCs w:val="16"/>
        </w:rPr>
      </w:pPr>
      <w:r>
        <w:rPr>
          <w:sz w:val="16"/>
          <w:szCs w:val="16"/>
        </w:rPr>
        <w:t xml:space="preserve">Zhu, Z., Zeng, Q., Kong, L., Luo, X., Li, K., Xu, X., Zhang, M., Huang, P., &amp; Yang, Y. (2021). Altered Spontaneous Brain Activity in Subjects With Different Cognitive States of Biologically Defined Alzheimer's Disease: A Surface-Based Functional Brain Imaging Study. Frontiers in aging neuroscience, 13, 683783. </w:t>
      </w:r>
      <w:hyperlink r:id="rId58">
        <w:r>
          <w:rPr>
            <w:color w:val="1155CC"/>
            <w:sz w:val="16"/>
            <w:szCs w:val="16"/>
            <w:u w:val="single"/>
          </w:rPr>
          <w:t>https://doi.org/10.3389/fnagi.2021.683783</w:t>
        </w:r>
      </w:hyperlink>
    </w:p>
    <w:p>
      <w:pPr>
        <w:pStyle w:val="Normal"/>
        <w:numPr>
          <w:ilvl w:val="0"/>
          <w:numId w:val="1"/>
        </w:numPr>
        <w:spacing w:before="0" w:after="200"/>
        <w:jc w:val="both"/>
        <w:rPr>
          <w:sz w:val="16"/>
          <w:szCs w:val="16"/>
        </w:rPr>
      </w:pPr>
      <w:r>
        <w:rPr>
          <w:sz w:val="16"/>
          <w:szCs w:val="16"/>
        </w:rPr>
        <w:t xml:space="preserve">Bubu, O. M., Umasabor-Bubu, O. Q., Turner, A. D., Parekh, A., Mullins, A. E., Kam, K., Birckbichler, M. K., Mukhtar, F., Mbah, A. K., Williams, N. J., Rapoport, D. M., de Leon, M., Jean-Louis, G., Ayappa, I., Varga, A. W., Osorio, R. S., &amp; and Alzheimer's Disease Neuroimaging Initiative (2020). Self-reported obstructive sleep apnea, amyloid and tau burden, and Alzheimer's disease time-dependent progression. Alzheimer's &amp; dementia : the journal of the Alzheimer's Association, 10.1002/alz.12184. Advance online publication. </w:t>
      </w:r>
      <w:hyperlink r:id="rId59">
        <w:r>
          <w:rPr>
            <w:color w:val="1155CC"/>
            <w:sz w:val="16"/>
            <w:szCs w:val="16"/>
            <w:u w:val="single"/>
          </w:rPr>
          <w:t>https://doi.org/10.1002/alz.12184</w:t>
        </w:r>
      </w:hyperlink>
    </w:p>
    <w:p>
      <w:pPr>
        <w:pStyle w:val="Normal"/>
        <w:numPr>
          <w:ilvl w:val="0"/>
          <w:numId w:val="1"/>
        </w:numPr>
        <w:spacing w:before="0" w:after="200"/>
        <w:jc w:val="both"/>
        <w:rPr>
          <w:sz w:val="16"/>
          <w:szCs w:val="16"/>
        </w:rPr>
      </w:pPr>
      <w:r>
        <w:rPr>
          <w:sz w:val="16"/>
          <w:szCs w:val="16"/>
        </w:rPr>
        <w:t xml:space="preserve">Sato, K., Mano, T., Suzuki, K., Toda, T., Iwatsubo, T., Iwata, A., &amp; for Alzheimer’s Disease Neuroimaging Initiative (2020). Attempt to Predict A/T/N-Based Alzheimer's Disease Cerebrospinal Fluid Biomarkers Using a Peripheral Blood DNA Methylation Clock. Journal of Alzheimer's disease reports, 4(1), 287–296. </w:t>
      </w:r>
      <w:hyperlink r:id="rId60">
        <w:r>
          <w:rPr>
            <w:color w:val="1155CC"/>
            <w:sz w:val="16"/>
            <w:szCs w:val="16"/>
            <w:u w:val="single"/>
          </w:rPr>
          <w:t>https://doi.org/10.3233/ADR-200205</w:t>
        </w:r>
      </w:hyperlink>
    </w:p>
    <w:p>
      <w:pPr>
        <w:pStyle w:val="Normal"/>
        <w:numPr>
          <w:ilvl w:val="0"/>
          <w:numId w:val="1"/>
        </w:numPr>
        <w:spacing w:before="0" w:after="200"/>
        <w:jc w:val="both"/>
        <w:rPr>
          <w:sz w:val="16"/>
          <w:szCs w:val="16"/>
        </w:rPr>
      </w:pPr>
      <w:r>
        <w:rPr>
          <w:sz w:val="16"/>
          <w:szCs w:val="16"/>
        </w:rPr>
        <w:t xml:space="preserve">Park, S. W., Kim, S., Park, J., Jang, J. W., &amp; Kim, S. (2020). A Comprehensive Visual Rating Scale for Predicting Progression from Mild Cognitive Impairment to Dementia in Patients with Alzheimer's Pathology or Suspected Non-Alzheimer's Pathology. Dementia and neurocognitive disorders, 19(4), 129–139. </w:t>
      </w:r>
      <w:hyperlink r:id="rId61">
        <w:r>
          <w:rPr>
            <w:color w:val="1155CC"/>
            <w:sz w:val="16"/>
            <w:szCs w:val="16"/>
            <w:u w:val="single"/>
          </w:rPr>
          <w:t>https://doi.org/10.12779/dnd.2020.19.4.129</w:t>
        </w:r>
      </w:hyperlink>
    </w:p>
    <w:p>
      <w:pPr>
        <w:pStyle w:val="Normal"/>
        <w:numPr>
          <w:ilvl w:val="0"/>
          <w:numId w:val="1"/>
        </w:numPr>
        <w:spacing w:before="0" w:after="200"/>
        <w:jc w:val="both"/>
        <w:rPr>
          <w:sz w:val="16"/>
          <w:szCs w:val="16"/>
        </w:rPr>
      </w:pPr>
      <w:r>
        <w:rPr>
          <w:sz w:val="16"/>
          <w:szCs w:val="16"/>
        </w:rPr>
        <w:t xml:space="preserve">Mattsson, N., Cullen, N. C., Andreasson, U., Zetterberg, H., &amp; Blennow, K. (2019). Association Between Longitudinal Plasma Neurofilament Light and Neurodegeneration in Patients With Alzheimer Disease. JAMA neurology, 76(7), 791–799. </w:t>
      </w:r>
      <w:hyperlink r:id="rId62">
        <w:r>
          <w:rPr>
            <w:color w:val="1155CC"/>
            <w:sz w:val="16"/>
            <w:szCs w:val="16"/>
            <w:u w:val="single"/>
          </w:rPr>
          <w:t>https://doi.org/10.1001/jamaneurol.2019.0765</w:t>
        </w:r>
      </w:hyperlink>
    </w:p>
    <w:p>
      <w:pPr>
        <w:pStyle w:val="Normal"/>
        <w:numPr>
          <w:ilvl w:val="0"/>
          <w:numId w:val="1"/>
        </w:numPr>
        <w:spacing w:before="200" w:after="200"/>
        <w:jc w:val="both"/>
        <w:rPr>
          <w:sz w:val="16"/>
          <w:szCs w:val="16"/>
        </w:rPr>
      </w:pPr>
      <w:r>
        <w:rPr>
          <w:sz w:val="16"/>
          <w:szCs w:val="16"/>
        </w:rPr>
        <w:t xml:space="preserve">Lin, R. R., Xue, Y. Y., Li, X. Y., Chen, Y. H., Tao, Q. Q., &amp; Wu, Z. Y. (2021). Optimal Combinations of AT(N) Biomarkers to Determine Longitudinal Cognition in the Alzheimer's Disease. Frontiers in aging neuroscience, 13, 718959. </w:t>
      </w:r>
      <w:hyperlink r:id="rId63">
        <w:r>
          <w:rPr>
            <w:color w:val="1155CC"/>
            <w:sz w:val="16"/>
            <w:szCs w:val="16"/>
            <w:u w:val="single"/>
          </w:rPr>
          <w:t>https://doi.org/10.3389/fnagi.2021.718959</w:t>
        </w:r>
      </w:hyperlink>
    </w:p>
    <w:p>
      <w:pPr>
        <w:pStyle w:val="Normal"/>
        <w:numPr>
          <w:ilvl w:val="0"/>
          <w:numId w:val="1"/>
        </w:numPr>
        <w:spacing w:before="200" w:after="200"/>
        <w:jc w:val="both"/>
        <w:rPr>
          <w:sz w:val="16"/>
          <w:szCs w:val="16"/>
        </w:rPr>
      </w:pPr>
      <w:r>
        <w:rPr>
          <w:sz w:val="16"/>
          <w:szCs w:val="16"/>
        </w:rPr>
        <w:t>Williams, H. (2020). Statistics for Politics and International Relations Using IBM SPSS Statistics. Statistics for Politics and International Relations Using IBM SPSS Statistics, 1-408.</w:t>
      </w:r>
    </w:p>
    <w:sectPr>
      <w:footerReference w:type="default" r:id="rId64"/>
      <w:type w:val="nextPage"/>
      <w:pgSz w:w="12240" w:h="15840"/>
      <w:pgMar w:left="1440" w:right="1440" w:gutter="0" w:header="0" w:top="1440" w:footer="72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Robot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fldChar w:fldCharType="begin"/>
    </w:r>
    <w:r>
      <w:rPr/>
      <w:instrText xml:space="preserve"> PAGE </w:instrText>
    </w:r>
    <w:r>
      <w:rPr/>
      <w:fldChar w:fldCharType="separate"/>
    </w:r>
    <w:r>
      <w:rPr/>
      <w:t>5</w:t>
    </w:r>
    <w:r>
      <w:rPr/>
      <w:fldChar w:fldCharType="end"/>
    </w:r>
    <w:r>
      <w:rPr/>
      <w:t>/</w:t>
    </w:r>
    <w:r>
      <w:rPr/>
      <w:fldChar w:fldCharType="begin"/>
    </w:r>
    <w:r>
      <w:rPr/>
      <w:instrText xml:space="preserve"> NUMPAGES </w:instrText>
    </w:r>
    <w:r>
      <w:rPr/>
      <w:fldChar w:fldCharType="separate"/>
    </w:r>
    <w:r>
      <w:rPr/>
      <w:t>19</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fldChar w:fldCharType="begin"/>
    </w:r>
    <w:r>
      <w:rPr/>
      <w:instrText xml:space="preserve"> PAGE </w:instrText>
    </w:r>
    <w:r>
      <w:rPr/>
      <w:fldChar w:fldCharType="separate"/>
    </w:r>
    <w:r>
      <w:rPr/>
      <w:t>8</w:t>
    </w:r>
    <w:r>
      <w:rPr/>
      <w:fldChar w:fldCharType="end"/>
    </w:r>
    <w:r>
      <w:rPr/>
      <w:t>/</w:t>
    </w:r>
    <w:r>
      <w:rPr/>
      <w:fldChar w:fldCharType="begin"/>
    </w:r>
    <w:r>
      <w:rPr/>
      <w:instrText xml:space="preserve"> NUMPAGES </w:instrText>
    </w:r>
    <w:r>
      <w:rPr/>
      <w:fldChar w:fldCharType="separate"/>
    </w:r>
    <w:r>
      <w:rPr/>
      <w:t>19</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fldChar w:fldCharType="begin"/>
    </w:r>
    <w:r>
      <w:rPr/>
      <w:instrText xml:space="preserve"> PAGE </w:instrText>
    </w:r>
    <w:r>
      <w:rPr/>
      <w:fldChar w:fldCharType="separate"/>
    </w:r>
    <w:r>
      <w:rPr/>
      <w:t>14</w:t>
    </w:r>
    <w:r>
      <w:rPr/>
      <w:fldChar w:fldCharType="end"/>
    </w:r>
    <w:r>
      <w:rPr/>
      <w:t>/</w:t>
    </w:r>
    <w:r>
      <w:rPr/>
      <w:fldChar w:fldCharType="begin"/>
    </w:r>
    <w:r>
      <w:rPr/>
      <w:instrText xml:space="preserve"> NUMPAGES </w:instrText>
    </w:r>
    <w:r>
      <w:rPr/>
      <w:fldChar w:fldCharType="separate"/>
    </w:r>
    <w:r>
      <w:rPr/>
      <w:t>19</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fr-FR"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HeaderandFooter">
    <w:name w:val="Header and Footer"/>
    <w:basedOn w:val="Normal"/>
    <w:qFormat/>
    <w:pPr/>
    <w:rPr/>
  </w:style>
  <w:style w:type="paragraph" w:styleId="Footer">
    <w:name w:val="Footer"/>
    <w:basedOn w:val="HeaderandFooter"/>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yasamin.salimi@scai.fraunhofer.de" TargetMode="External"/><Relationship Id="rId3" Type="http://schemas.openxmlformats.org/officeDocument/2006/relationships/hyperlink" Target="mailto:colin.birkenbihl@scai.fraunhofer.de" TargetMode="External"/><Relationship Id="rId4" Type="http://schemas.openxmlformats.org/officeDocument/2006/relationships/image" Target="media/image1.pn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2.png"/><Relationship Id="rId8" Type="http://schemas.openxmlformats.org/officeDocument/2006/relationships/hyperlink" Target="https://doi.org/10.1002/dad2.12246" TargetMode="External"/><Relationship Id="rId9" Type="http://schemas.openxmlformats.org/officeDocument/2006/relationships/hyperlink" Target="https://doi.org/10.3348/kjr.2021.0323" TargetMode="External"/><Relationship Id="rId10" Type="http://schemas.openxmlformats.org/officeDocument/2006/relationships/hyperlink" Target="https://doi.org/10.3346/jkms.2020.35.e361" TargetMode="External"/><Relationship Id="rId11" Type="http://schemas.openxmlformats.org/officeDocument/2006/relationships/hyperlink" Target="https://doi.org/10.1016/j.jalz.2018.01.013" TargetMode="External"/><Relationship Id="rId12" Type="http://schemas.openxmlformats.org/officeDocument/2006/relationships/hyperlink" Target="https://doi.org/10.1007/s00259-020-05152-8" TargetMode="External"/><Relationship Id="rId13" Type="http://schemas.openxmlformats.org/officeDocument/2006/relationships/hyperlink" Target="https://doi.org/10.1186/s13195-021-00817-4" TargetMode="External"/><Relationship Id="rId14" Type="http://schemas.openxmlformats.org/officeDocument/2006/relationships/hyperlink" Target="https://doi.org/10.1002/alz.12233" TargetMode="External"/><Relationship Id="rId15" Type="http://schemas.openxmlformats.org/officeDocument/2006/relationships/hyperlink" Target="https://doi.org/10.1212/WNL.0000000000011521" TargetMode="External"/><Relationship Id="rId16" Type="http://schemas.openxmlformats.org/officeDocument/2006/relationships/hyperlink" Target="https://doi.org/10.1002/acn3.51196" TargetMode="External"/><Relationship Id="rId17" Type="http://schemas.openxmlformats.org/officeDocument/2006/relationships/hyperlink" Target="https://doi.org/10.1002/hbm.25271" TargetMode="External"/><Relationship Id="rId18" Type="http://schemas.openxmlformats.org/officeDocument/2006/relationships/hyperlink" Target="https://doi.org/10.3389/fnagi.2020.608628" TargetMode="External"/><Relationship Id="rId19" Type="http://schemas.openxmlformats.org/officeDocument/2006/relationships/hyperlink" Target="https://doi.org/10.1016/j.dadm.2018.03.004" TargetMode="External"/><Relationship Id="rId20" Type="http://schemas.openxmlformats.org/officeDocument/2006/relationships/hyperlink" Target="https://doi.org/10.3389/fpsyt.2021.716686" TargetMode="External"/><Relationship Id="rId21" Type="http://schemas.openxmlformats.org/officeDocument/2006/relationships/hyperlink" Target="https://doi.org/10.1002/dad2.12104" TargetMode="External"/><Relationship Id="rId22" Type="http://schemas.openxmlformats.org/officeDocument/2006/relationships/hyperlink" Target="https://doi.org/10.3390/jcm8030341" TargetMode="External"/><Relationship Id="rId23" Type="http://schemas.openxmlformats.org/officeDocument/2006/relationships/hyperlink" Target="https://doi.org/10.1002/ana.21610" TargetMode="External"/><Relationship Id="rId24" Type="http://schemas.openxmlformats.org/officeDocument/2006/relationships/hyperlink" Target="https://doi.org/10.1007/s00401-022-02408-5" TargetMode="External"/><Relationship Id="rId25" Type="http://schemas.openxmlformats.org/officeDocument/2006/relationships/hyperlink" Target="https://doi.org/10.1001/jama.2018.12917" TargetMode="External"/><Relationship Id="rId26" Type="http://schemas.openxmlformats.org/officeDocument/2006/relationships/hyperlink" Target="https://doi.org/10.1212/WNL.0000000000009485" TargetMode="External"/><Relationship Id="rId27" Type="http://schemas.openxmlformats.org/officeDocument/2006/relationships/hyperlink" Target="https://doi.org/10.1038/s41467-021-23746-0" TargetMode="External"/><Relationship Id="rId28" Type="http://schemas.openxmlformats.org/officeDocument/2006/relationships/hyperlink" Target="https://doi.org/10.1186/s13195-021-00909-1" TargetMode="External"/><Relationship Id="rId29" Type="http://schemas.openxmlformats.org/officeDocument/2006/relationships/hyperlink" Target="https://doi.org/10.1186/s13195-020-00711-5" TargetMode="External"/><Relationship Id="rId30" Type="http://schemas.openxmlformats.org/officeDocument/2006/relationships/hyperlink" Target="https://doi.org/10.1212/WNL.0000000000008361" TargetMode="External"/><Relationship Id="rId31" Type="http://schemas.openxmlformats.org/officeDocument/2006/relationships/hyperlink" Target="https://doi.org/10.1016/j.jalz.2018.01.010" TargetMode="External"/><Relationship Id="rId32" Type="http://schemas.openxmlformats.org/officeDocument/2006/relationships/hyperlink" Target="https://doi.org/10.1016/j.neuroimage.2013.01.015" TargetMode="External"/><Relationship Id="rId33" Type="http://schemas.openxmlformats.org/officeDocument/2006/relationships/hyperlink" Target="https://doi.org/10.1186/s13195-020-00689-0" TargetMode="External"/><Relationship Id="rId34" Type="http://schemas.openxmlformats.org/officeDocument/2006/relationships/hyperlink" Target="https://doi.org/10.1002/alz.12292" TargetMode="External"/><Relationship Id="rId35" Type="http://schemas.openxmlformats.org/officeDocument/2006/relationships/hyperlink" Target="https://doi.org/10.1212/WNL.0000000000007248" TargetMode="External"/><Relationship Id="rId36" Type="http://schemas.openxmlformats.org/officeDocument/2006/relationships/hyperlink" Target="https://doi.org/10.1186/s13195-020-00621-6" TargetMode="External"/><Relationship Id="rId37" Type="http://schemas.openxmlformats.org/officeDocument/2006/relationships/hyperlink" Target="https://doi.org/10.1093/brain/awaa165" TargetMode="External"/><Relationship Id="rId38" Type="http://schemas.openxmlformats.org/officeDocument/2006/relationships/hyperlink" Target="https://doi.org/10.1002/alz.12491" TargetMode="External"/><Relationship Id="rId39" Type="http://schemas.openxmlformats.org/officeDocument/2006/relationships/hyperlink" Target="https://doi.org/10.1186/s12974-019-1399-2" TargetMode="External"/><Relationship Id="rId40" Type="http://schemas.openxmlformats.org/officeDocument/2006/relationships/hyperlink" Target="https://doi.org/10.1159/000515322" TargetMode="External"/><Relationship Id="rId41" Type="http://schemas.openxmlformats.org/officeDocument/2006/relationships/hyperlink" Target="https://doi.org/10.1002/alz.12236" TargetMode="External"/><Relationship Id="rId42" Type="http://schemas.openxmlformats.org/officeDocument/2006/relationships/hyperlink" Target="https://doi.org/10.1111/jgs.17173" TargetMode="External"/><Relationship Id="rId43" Type="http://schemas.openxmlformats.org/officeDocument/2006/relationships/hyperlink" Target="https://doi.org/10.1212/WNL.0000000000009724" TargetMode="External"/><Relationship Id="rId44" Type="http://schemas.openxmlformats.org/officeDocument/2006/relationships/hyperlink" Target="https://doi.org/10.1016/j.nicl.2021.102804" TargetMode="External"/><Relationship Id="rId45" Type="http://schemas.openxmlformats.org/officeDocument/2006/relationships/hyperlink" Target="https://doi.org/10.1002/dad2.12031" TargetMode="External"/><Relationship Id="rId46" Type="http://schemas.openxmlformats.org/officeDocument/2006/relationships/hyperlink" Target="https://doi.org/10.1038/s41380-021-01263-2" TargetMode="External"/><Relationship Id="rId47" Type="http://schemas.openxmlformats.org/officeDocument/2006/relationships/hyperlink" Target="https://doi.org/10.1186/s13195-021-00799-3" TargetMode="External"/><Relationship Id="rId48" Type="http://schemas.openxmlformats.org/officeDocument/2006/relationships/hyperlink" Target="https://doi.org/10.1016/j.neurobiolaging.2020.12.021" TargetMode="External"/><Relationship Id="rId49" Type="http://schemas.openxmlformats.org/officeDocument/2006/relationships/hyperlink" Target="https://doi.org/10.1186/s13195-019-0512-1" TargetMode="External"/><Relationship Id="rId50" Type="http://schemas.openxmlformats.org/officeDocument/2006/relationships/hyperlink" Target="https://doi.org/10.1212/WNL.0000000000005476" TargetMode="External"/><Relationship Id="rId51" Type="http://schemas.openxmlformats.org/officeDocument/2006/relationships/hyperlink" Target="https://doi.org/10.1016/j.nicl.2019.101771" TargetMode="External"/><Relationship Id="rId52" Type="http://schemas.openxmlformats.org/officeDocument/2006/relationships/hyperlink" Target="https://doi.org/10.1002/alz.12506" TargetMode="External"/><Relationship Id="rId53" Type="http://schemas.openxmlformats.org/officeDocument/2006/relationships/hyperlink" Target="https://doi.org/10.3389/fnagi.2021.676744" TargetMode="External"/><Relationship Id="rId54" Type="http://schemas.openxmlformats.org/officeDocument/2006/relationships/hyperlink" Target="https://doi.org/10.1016/j.nicl.2020.102282" TargetMode="External"/><Relationship Id="rId55" Type="http://schemas.openxmlformats.org/officeDocument/2006/relationships/hyperlink" Target="https://doi.org/10.1093/cercor/bhaa162" TargetMode="External"/><Relationship Id="rId56" Type="http://schemas.openxmlformats.org/officeDocument/2006/relationships/hyperlink" Target="https://doi.org/10.1016/j.nicl.2019.101828" TargetMode="External"/><Relationship Id="rId57" Type="http://schemas.openxmlformats.org/officeDocument/2006/relationships/hyperlink" Target="https://doi.org/10.3390/biomedicines9101376" TargetMode="External"/><Relationship Id="rId58" Type="http://schemas.openxmlformats.org/officeDocument/2006/relationships/hyperlink" Target="https://doi.org/10.3389/fnagi.2021.683783" TargetMode="External"/><Relationship Id="rId59" Type="http://schemas.openxmlformats.org/officeDocument/2006/relationships/hyperlink" Target="https://doi.org/10.1002/alz.12184" TargetMode="External"/><Relationship Id="rId60" Type="http://schemas.openxmlformats.org/officeDocument/2006/relationships/hyperlink" Target="https://doi.org/10.3233/ADR-200205" TargetMode="External"/><Relationship Id="rId61" Type="http://schemas.openxmlformats.org/officeDocument/2006/relationships/hyperlink" Target="https://doi.org/10.12779/dnd.2020.19.4.129" TargetMode="External"/><Relationship Id="rId62" Type="http://schemas.openxmlformats.org/officeDocument/2006/relationships/hyperlink" Target="https://doi.org/10.1001/jamaneurol.2019.0765" TargetMode="External"/><Relationship Id="rId63" Type="http://schemas.openxmlformats.org/officeDocument/2006/relationships/hyperlink" Target="https://doi.org/10.3389/fnagi.2021.718959" TargetMode="External"/><Relationship Id="rId64" Type="http://schemas.openxmlformats.org/officeDocument/2006/relationships/footer" Target="footer3.xml"/><Relationship Id="rId65" Type="http://schemas.openxmlformats.org/officeDocument/2006/relationships/numbering" Target="numbering.xml"/><Relationship Id="rId66" Type="http://schemas.openxmlformats.org/officeDocument/2006/relationships/fontTable" Target="fontTable.xml"/><Relationship Id="rId67" Type="http://schemas.openxmlformats.org/officeDocument/2006/relationships/settings" Target="settings.xml"/><Relationship Id="rId6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LibreOffice/7.3.7.2$Linux_X86_64 LibreOffice_project/30$Build-2</Application>
  <AppVersion>15.0000</AppVersion>
  <Pages>19</Pages>
  <Words>6807</Words>
  <Characters>37829</Characters>
  <CharactersWithSpaces>42887</CharactersWithSpaces>
  <Paragraphs>1653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2023-07-03T09:13:00Z</dcterms:created>
  <dc:creator/>
  <dc:description/>
  <dc:language>en-US</dc:language>
  <cp:lastModifiedBy/>
  <dcterms:modified xsi:type="dcterms:W3CDTF">2023-07-03T12:33:21Z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