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3347" w14:textId="77777777" w:rsidR="009066FB" w:rsidRDefault="009066FB" w:rsidP="00BD4624">
      <w:pPr>
        <w:spacing w:line="480" w:lineRule="auto"/>
        <w:rPr>
          <w:b/>
          <w:bCs/>
          <w:sz w:val="18"/>
          <w:szCs w:val="18"/>
          <w:lang w:val="en-US"/>
        </w:rPr>
      </w:pPr>
      <w:r w:rsidRPr="00147527">
        <w:rPr>
          <w:b/>
          <w:bCs/>
          <w:sz w:val="18"/>
          <w:szCs w:val="18"/>
          <w:lang w:val="en-US"/>
        </w:rPr>
        <w:t>SUPPLEMENTARY MATERIAL</w:t>
      </w:r>
    </w:p>
    <w:p w14:paraId="39C9E217" w14:textId="77777777" w:rsidR="009066FB" w:rsidRDefault="009066FB" w:rsidP="00BD4624">
      <w:pPr>
        <w:spacing w:line="480" w:lineRule="auto"/>
      </w:pPr>
    </w:p>
    <w:p w14:paraId="10F36825" w14:textId="77777777" w:rsidR="009066FB" w:rsidRDefault="009066FB" w:rsidP="00BD4624">
      <w:pPr>
        <w:spacing w:line="480" w:lineRule="auto"/>
        <w:ind w:left="720"/>
        <w:jc w:val="center"/>
        <w:rPr>
          <w:sz w:val="18"/>
          <w:szCs w:val="18"/>
          <w:lang w:val="en-US"/>
        </w:rPr>
      </w:pPr>
      <w:r>
        <w:rPr>
          <w:sz w:val="18"/>
          <w:szCs w:val="18"/>
          <w:lang w:val="en-US"/>
        </w:rPr>
        <w:t xml:space="preserve">Supplementary Table 1: </w:t>
      </w:r>
      <w:r w:rsidRPr="00054685">
        <w:rPr>
          <w:sz w:val="18"/>
          <w:szCs w:val="18"/>
          <w:lang w:val="en-US"/>
        </w:rPr>
        <w:t>Pure SAMe products available internationally*</w:t>
      </w:r>
      <w:r>
        <w:rPr>
          <w:sz w:val="18"/>
          <w:szCs w:val="18"/>
          <w:lang w:val="en-US"/>
        </w:rPr>
        <w:br/>
      </w:r>
      <w:r w:rsidRPr="00054685">
        <w:rPr>
          <w:sz w:val="18"/>
          <w:szCs w:val="18"/>
          <w:lang w:val="en-US"/>
        </w:rPr>
        <w:t>All products contained either 200 mg or 400 mg of SAMe. Recommended administration frequency ranged from once to 6 times daily. For any single administration, the dose ranged from 200</w:t>
      </w:r>
      <w:r>
        <w:rPr>
          <w:sz w:val="18"/>
          <w:szCs w:val="18"/>
          <w:lang w:val="en-US"/>
        </w:rPr>
        <w:t xml:space="preserve"> </w:t>
      </w:r>
      <w:r w:rsidRPr="00054685">
        <w:rPr>
          <w:sz w:val="18"/>
          <w:szCs w:val="18"/>
          <w:lang w:val="en-US"/>
        </w:rPr>
        <w:t>mg to 800</w:t>
      </w:r>
      <w:r>
        <w:rPr>
          <w:sz w:val="18"/>
          <w:szCs w:val="18"/>
          <w:lang w:val="en-US"/>
        </w:rPr>
        <w:t xml:space="preserve"> </w:t>
      </w:r>
      <w:r w:rsidRPr="00054685">
        <w:rPr>
          <w:sz w:val="18"/>
          <w:szCs w:val="18"/>
          <w:lang w:val="en-US"/>
        </w:rPr>
        <w:t>mg. Recommended total daily dose ranged from 200 mg to 1600 mg. The most frequent recommended total daily dose (mode) was 400</w:t>
      </w:r>
      <w:r>
        <w:rPr>
          <w:sz w:val="18"/>
          <w:szCs w:val="18"/>
          <w:lang w:val="en-US"/>
        </w:rPr>
        <w:t xml:space="preserve"> </w:t>
      </w:r>
      <w:r w:rsidRPr="00054685">
        <w:rPr>
          <w:sz w:val="18"/>
          <w:szCs w:val="18"/>
          <w:lang w:val="en-US"/>
        </w:rPr>
        <w:t>mg, mean 779.7</w:t>
      </w:r>
      <w:r>
        <w:rPr>
          <w:sz w:val="18"/>
          <w:szCs w:val="18"/>
          <w:lang w:val="en-US"/>
        </w:rPr>
        <w:t xml:space="preserve"> </w:t>
      </w:r>
      <w:r w:rsidRPr="00054685">
        <w:rPr>
          <w:sz w:val="18"/>
          <w:szCs w:val="18"/>
          <w:lang w:val="en-US"/>
        </w:rPr>
        <w:t>mg, median 800</w:t>
      </w:r>
      <w:r>
        <w:rPr>
          <w:sz w:val="18"/>
          <w:szCs w:val="18"/>
          <w:lang w:val="en-US"/>
        </w:rPr>
        <w:t xml:space="preserve"> </w:t>
      </w:r>
      <w:r w:rsidRPr="00054685">
        <w:rPr>
          <w:sz w:val="18"/>
          <w:szCs w:val="18"/>
          <w:lang w:val="en-US"/>
        </w:rPr>
        <w:t>mg.</w:t>
      </w:r>
    </w:p>
    <w:p w14:paraId="64EF1A79" w14:textId="77777777" w:rsidR="009066FB" w:rsidRPr="00054685" w:rsidRDefault="009066FB" w:rsidP="00BD4624">
      <w:pPr>
        <w:spacing w:line="480" w:lineRule="auto"/>
        <w:jc w:val="center"/>
        <w:rPr>
          <w:sz w:val="18"/>
          <w:szCs w:val="18"/>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559"/>
        <w:gridCol w:w="2126"/>
        <w:gridCol w:w="3543"/>
      </w:tblGrid>
      <w:tr w:rsidR="009066FB" w14:paraId="06B62726" w14:textId="77777777" w:rsidTr="00FF705B">
        <w:tc>
          <w:tcPr>
            <w:tcW w:w="2122" w:type="dxa"/>
            <w:tcBorders>
              <w:bottom w:val="single" w:sz="4" w:space="0" w:color="auto"/>
            </w:tcBorders>
          </w:tcPr>
          <w:p w14:paraId="43D7754A" w14:textId="77777777" w:rsidR="009066FB" w:rsidRPr="00FE16E6" w:rsidRDefault="009066FB" w:rsidP="00FF705B">
            <w:pPr>
              <w:spacing w:line="480" w:lineRule="auto"/>
              <w:rPr>
                <w:sz w:val="18"/>
                <w:szCs w:val="18"/>
                <w:lang w:val="en-US"/>
              </w:rPr>
            </w:pPr>
            <w:r w:rsidRPr="00FE16E6">
              <w:rPr>
                <w:sz w:val="18"/>
                <w:szCs w:val="18"/>
                <w:lang w:val="en-US"/>
              </w:rPr>
              <w:t>Manufacturer</w:t>
            </w:r>
          </w:p>
        </w:tc>
        <w:tc>
          <w:tcPr>
            <w:tcW w:w="1559" w:type="dxa"/>
            <w:tcBorders>
              <w:bottom w:val="single" w:sz="4" w:space="0" w:color="auto"/>
            </w:tcBorders>
          </w:tcPr>
          <w:p w14:paraId="3BBB6FD9" w14:textId="77777777" w:rsidR="009066FB" w:rsidRPr="00FE16E6" w:rsidRDefault="009066FB" w:rsidP="00FF705B">
            <w:pPr>
              <w:spacing w:line="480" w:lineRule="auto"/>
              <w:rPr>
                <w:sz w:val="18"/>
                <w:szCs w:val="18"/>
                <w:lang w:val="en-US"/>
              </w:rPr>
            </w:pPr>
            <w:r w:rsidRPr="00FE16E6">
              <w:rPr>
                <w:sz w:val="18"/>
                <w:szCs w:val="18"/>
                <w:lang w:val="en-US"/>
              </w:rPr>
              <w:t xml:space="preserve">SAMe content per </w:t>
            </w:r>
            <w:r>
              <w:rPr>
                <w:sz w:val="18"/>
                <w:szCs w:val="18"/>
                <w:lang w:val="en-US"/>
              </w:rPr>
              <w:t>pill</w:t>
            </w:r>
            <w:r w:rsidRPr="00FE16E6">
              <w:rPr>
                <w:sz w:val="18"/>
                <w:szCs w:val="18"/>
                <w:lang w:val="en-US"/>
              </w:rPr>
              <w:t xml:space="preserve"> (mg)</w:t>
            </w:r>
          </w:p>
        </w:tc>
        <w:tc>
          <w:tcPr>
            <w:tcW w:w="2126" w:type="dxa"/>
            <w:tcBorders>
              <w:bottom w:val="single" w:sz="4" w:space="0" w:color="auto"/>
            </w:tcBorders>
          </w:tcPr>
          <w:p w14:paraId="20BEBB1D" w14:textId="77777777" w:rsidR="009066FB" w:rsidRPr="00FE16E6" w:rsidRDefault="009066FB" w:rsidP="00FF705B">
            <w:pPr>
              <w:spacing w:line="480" w:lineRule="auto"/>
              <w:rPr>
                <w:sz w:val="18"/>
                <w:szCs w:val="18"/>
                <w:lang w:val="en-US"/>
              </w:rPr>
            </w:pPr>
            <w:r w:rsidRPr="00FE16E6">
              <w:rPr>
                <w:sz w:val="18"/>
                <w:szCs w:val="18"/>
                <w:lang w:val="en-US"/>
              </w:rPr>
              <w:t>Administration</w:t>
            </w:r>
            <w:r>
              <w:rPr>
                <w:sz w:val="18"/>
                <w:szCs w:val="18"/>
                <w:lang w:val="en-US"/>
              </w:rPr>
              <w:t xml:space="preserve"> (one pill unless otherwise stated)</w:t>
            </w:r>
          </w:p>
        </w:tc>
        <w:tc>
          <w:tcPr>
            <w:tcW w:w="3543" w:type="dxa"/>
            <w:tcBorders>
              <w:bottom w:val="single" w:sz="4" w:space="0" w:color="auto"/>
            </w:tcBorders>
          </w:tcPr>
          <w:p w14:paraId="501D14DC" w14:textId="77777777" w:rsidR="009066FB" w:rsidRPr="00FE16E6" w:rsidRDefault="009066FB" w:rsidP="00FF705B">
            <w:pPr>
              <w:spacing w:line="480" w:lineRule="auto"/>
              <w:rPr>
                <w:sz w:val="18"/>
                <w:szCs w:val="18"/>
                <w:lang w:val="en-US"/>
              </w:rPr>
            </w:pPr>
            <w:r w:rsidRPr="00FE16E6">
              <w:rPr>
                <w:sz w:val="18"/>
                <w:szCs w:val="18"/>
                <w:lang w:val="en-US"/>
              </w:rPr>
              <w:t>Recommended total daily dos</w:t>
            </w:r>
            <w:r>
              <w:rPr>
                <w:sz w:val="18"/>
                <w:szCs w:val="18"/>
                <w:lang w:val="en-US"/>
              </w:rPr>
              <w:t xml:space="preserve">e </w:t>
            </w:r>
            <w:r w:rsidRPr="00FE16E6">
              <w:rPr>
                <w:sz w:val="18"/>
                <w:szCs w:val="18"/>
                <w:lang w:val="en-US"/>
              </w:rPr>
              <w:t xml:space="preserve">in mg (number of </w:t>
            </w:r>
            <w:r>
              <w:rPr>
                <w:sz w:val="18"/>
                <w:szCs w:val="18"/>
                <w:lang w:val="en-US"/>
              </w:rPr>
              <w:t>pills</w:t>
            </w:r>
            <w:r w:rsidRPr="00FE16E6">
              <w:rPr>
                <w:sz w:val="18"/>
                <w:szCs w:val="18"/>
                <w:lang w:val="en-US"/>
              </w:rPr>
              <w:t>)</w:t>
            </w:r>
          </w:p>
        </w:tc>
      </w:tr>
      <w:tr w:rsidR="009066FB" w14:paraId="361FF0D4" w14:textId="77777777" w:rsidTr="00FF705B">
        <w:tc>
          <w:tcPr>
            <w:tcW w:w="2122" w:type="dxa"/>
            <w:tcBorders>
              <w:top w:val="single" w:sz="4" w:space="0" w:color="auto"/>
            </w:tcBorders>
          </w:tcPr>
          <w:p w14:paraId="15088D83" w14:textId="77777777" w:rsidR="009066FB" w:rsidRPr="00FE16E6" w:rsidRDefault="009066FB" w:rsidP="00FF705B">
            <w:pPr>
              <w:spacing w:line="480" w:lineRule="auto"/>
              <w:rPr>
                <w:sz w:val="18"/>
                <w:szCs w:val="18"/>
                <w:lang w:val="en-US"/>
              </w:rPr>
            </w:pPr>
            <w:r w:rsidRPr="00FE16E6">
              <w:rPr>
                <w:sz w:val="18"/>
                <w:szCs w:val="18"/>
                <w:lang w:val="en-US"/>
              </w:rPr>
              <w:t>Doctor’s Best</w:t>
            </w:r>
          </w:p>
        </w:tc>
        <w:tc>
          <w:tcPr>
            <w:tcW w:w="1559" w:type="dxa"/>
            <w:tcBorders>
              <w:top w:val="single" w:sz="4" w:space="0" w:color="auto"/>
            </w:tcBorders>
          </w:tcPr>
          <w:p w14:paraId="0429909E" w14:textId="77777777" w:rsidR="009066FB" w:rsidRPr="00FE16E6" w:rsidRDefault="009066FB" w:rsidP="00FF705B">
            <w:pPr>
              <w:spacing w:line="480" w:lineRule="auto"/>
              <w:rPr>
                <w:sz w:val="18"/>
                <w:szCs w:val="18"/>
                <w:lang w:val="en-US"/>
              </w:rPr>
            </w:pPr>
            <w:r w:rsidRPr="00FE16E6">
              <w:rPr>
                <w:sz w:val="18"/>
                <w:szCs w:val="18"/>
                <w:lang w:val="en-US"/>
              </w:rPr>
              <w:t>200</w:t>
            </w:r>
          </w:p>
        </w:tc>
        <w:tc>
          <w:tcPr>
            <w:tcW w:w="2126" w:type="dxa"/>
            <w:tcBorders>
              <w:top w:val="single" w:sz="4" w:space="0" w:color="auto"/>
            </w:tcBorders>
          </w:tcPr>
          <w:p w14:paraId="499DAF73" w14:textId="77777777" w:rsidR="009066FB" w:rsidRPr="00FE16E6" w:rsidRDefault="009066FB" w:rsidP="00FF705B">
            <w:pPr>
              <w:spacing w:line="480" w:lineRule="auto"/>
              <w:rPr>
                <w:sz w:val="18"/>
                <w:szCs w:val="18"/>
                <w:lang w:val="en-US"/>
              </w:rPr>
            </w:pPr>
            <w:r w:rsidRPr="00FE16E6">
              <w:rPr>
                <w:sz w:val="18"/>
                <w:szCs w:val="18"/>
                <w:lang w:val="en-US"/>
              </w:rPr>
              <w:t>Oral, twice daily</w:t>
            </w:r>
          </w:p>
        </w:tc>
        <w:tc>
          <w:tcPr>
            <w:tcW w:w="3543" w:type="dxa"/>
            <w:tcBorders>
              <w:top w:val="single" w:sz="4" w:space="0" w:color="auto"/>
            </w:tcBorders>
          </w:tcPr>
          <w:p w14:paraId="4160B581" w14:textId="77777777" w:rsidR="009066FB" w:rsidRPr="00FE16E6" w:rsidRDefault="009066FB" w:rsidP="00FF705B">
            <w:pPr>
              <w:spacing w:line="480" w:lineRule="auto"/>
              <w:rPr>
                <w:sz w:val="18"/>
                <w:szCs w:val="18"/>
                <w:lang w:val="en-US"/>
              </w:rPr>
            </w:pPr>
            <w:r w:rsidRPr="00FE16E6">
              <w:rPr>
                <w:sz w:val="18"/>
                <w:szCs w:val="18"/>
                <w:lang w:val="en-US"/>
              </w:rPr>
              <w:t>400 (2)</w:t>
            </w:r>
          </w:p>
        </w:tc>
      </w:tr>
      <w:tr w:rsidR="009066FB" w14:paraId="4EBD728A" w14:textId="77777777" w:rsidTr="00FF705B">
        <w:tc>
          <w:tcPr>
            <w:tcW w:w="2122" w:type="dxa"/>
          </w:tcPr>
          <w:p w14:paraId="0266BC20" w14:textId="77777777" w:rsidR="009066FB" w:rsidRPr="00FE16E6" w:rsidRDefault="009066FB" w:rsidP="00FF705B">
            <w:pPr>
              <w:spacing w:line="480" w:lineRule="auto"/>
              <w:rPr>
                <w:sz w:val="18"/>
                <w:szCs w:val="18"/>
                <w:lang w:val="en-US"/>
              </w:rPr>
            </w:pPr>
            <w:r w:rsidRPr="00FE16E6">
              <w:rPr>
                <w:sz w:val="18"/>
                <w:szCs w:val="18"/>
                <w:lang w:val="en-US"/>
              </w:rPr>
              <w:t>Doctor’s Best</w:t>
            </w:r>
          </w:p>
        </w:tc>
        <w:tc>
          <w:tcPr>
            <w:tcW w:w="1559" w:type="dxa"/>
          </w:tcPr>
          <w:p w14:paraId="3A4BD990" w14:textId="77777777" w:rsidR="009066FB" w:rsidRPr="00FE16E6" w:rsidRDefault="009066FB" w:rsidP="00FF705B">
            <w:pPr>
              <w:spacing w:line="480" w:lineRule="auto"/>
              <w:rPr>
                <w:sz w:val="18"/>
                <w:szCs w:val="18"/>
                <w:lang w:val="en-US"/>
              </w:rPr>
            </w:pPr>
            <w:r w:rsidRPr="00FE16E6">
              <w:rPr>
                <w:sz w:val="18"/>
                <w:szCs w:val="18"/>
                <w:lang w:val="en-US"/>
              </w:rPr>
              <w:t>400</w:t>
            </w:r>
          </w:p>
        </w:tc>
        <w:tc>
          <w:tcPr>
            <w:tcW w:w="2126" w:type="dxa"/>
          </w:tcPr>
          <w:p w14:paraId="0AE63D2A" w14:textId="77777777" w:rsidR="009066FB" w:rsidRPr="00FE16E6" w:rsidRDefault="009066FB" w:rsidP="00FF705B">
            <w:pPr>
              <w:spacing w:line="480" w:lineRule="auto"/>
              <w:rPr>
                <w:sz w:val="18"/>
                <w:szCs w:val="18"/>
                <w:lang w:val="en-US"/>
              </w:rPr>
            </w:pPr>
            <w:r w:rsidRPr="00FE16E6">
              <w:rPr>
                <w:sz w:val="18"/>
                <w:szCs w:val="18"/>
                <w:lang w:val="en-US"/>
              </w:rPr>
              <w:t>Oral, once daily</w:t>
            </w:r>
          </w:p>
        </w:tc>
        <w:tc>
          <w:tcPr>
            <w:tcW w:w="3543" w:type="dxa"/>
          </w:tcPr>
          <w:p w14:paraId="3DC52230" w14:textId="77777777" w:rsidR="009066FB" w:rsidRPr="00FE16E6" w:rsidRDefault="009066FB" w:rsidP="00FF705B">
            <w:pPr>
              <w:spacing w:line="480" w:lineRule="auto"/>
              <w:rPr>
                <w:sz w:val="18"/>
                <w:szCs w:val="18"/>
                <w:lang w:val="en-US"/>
              </w:rPr>
            </w:pPr>
            <w:r w:rsidRPr="00FE16E6">
              <w:rPr>
                <w:sz w:val="18"/>
                <w:szCs w:val="18"/>
                <w:lang w:val="en-US"/>
              </w:rPr>
              <w:t>400 (1)</w:t>
            </w:r>
          </w:p>
        </w:tc>
      </w:tr>
      <w:tr w:rsidR="009066FB" w14:paraId="45091E2D" w14:textId="77777777" w:rsidTr="00FF705B">
        <w:tc>
          <w:tcPr>
            <w:tcW w:w="2122" w:type="dxa"/>
          </w:tcPr>
          <w:p w14:paraId="54DFEF93" w14:textId="77777777" w:rsidR="009066FB" w:rsidRPr="00FE16E6" w:rsidRDefault="009066FB" w:rsidP="00FF705B">
            <w:pPr>
              <w:spacing w:line="480" w:lineRule="auto"/>
              <w:rPr>
                <w:sz w:val="18"/>
                <w:szCs w:val="18"/>
                <w:lang w:val="en-US"/>
              </w:rPr>
            </w:pPr>
            <w:r w:rsidRPr="00FE16E6">
              <w:rPr>
                <w:sz w:val="18"/>
                <w:szCs w:val="18"/>
                <w:lang w:val="en-US"/>
              </w:rPr>
              <w:t>Life Extension</w:t>
            </w:r>
          </w:p>
        </w:tc>
        <w:tc>
          <w:tcPr>
            <w:tcW w:w="1559" w:type="dxa"/>
          </w:tcPr>
          <w:p w14:paraId="2DF6B345" w14:textId="77777777" w:rsidR="009066FB" w:rsidRPr="00FE16E6" w:rsidRDefault="009066FB" w:rsidP="00FF705B">
            <w:pPr>
              <w:spacing w:line="480" w:lineRule="auto"/>
              <w:rPr>
                <w:sz w:val="18"/>
                <w:szCs w:val="18"/>
                <w:lang w:val="en-US"/>
              </w:rPr>
            </w:pPr>
            <w:r w:rsidRPr="00FE16E6">
              <w:rPr>
                <w:sz w:val="18"/>
                <w:szCs w:val="18"/>
                <w:lang w:val="en-US"/>
              </w:rPr>
              <w:t>200</w:t>
            </w:r>
          </w:p>
        </w:tc>
        <w:tc>
          <w:tcPr>
            <w:tcW w:w="2126" w:type="dxa"/>
          </w:tcPr>
          <w:p w14:paraId="6C4821E0" w14:textId="77777777" w:rsidR="009066FB" w:rsidRPr="00FE16E6" w:rsidRDefault="009066FB" w:rsidP="00FF705B">
            <w:pPr>
              <w:spacing w:line="480" w:lineRule="auto"/>
              <w:rPr>
                <w:sz w:val="18"/>
                <w:szCs w:val="18"/>
                <w:lang w:val="en-US"/>
              </w:rPr>
            </w:pPr>
            <w:r w:rsidRPr="00FE16E6">
              <w:rPr>
                <w:sz w:val="18"/>
                <w:szCs w:val="18"/>
                <w:lang w:val="en-US"/>
              </w:rPr>
              <w:t>Oral, 2-6 times daily</w:t>
            </w:r>
          </w:p>
        </w:tc>
        <w:tc>
          <w:tcPr>
            <w:tcW w:w="3543" w:type="dxa"/>
          </w:tcPr>
          <w:p w14:paraId="264876FA" w14:textId="77777777" w:rsidR="009066FB" w:rsidRPr="00FE16E6" w:rsidRDefault="009066FB" w:rsidP="00FF705B">
            <w:pPr>
              <w:spacing w:line="480" w:lineRule="auto"/>
              <w:rPr>
                <w:sz w:val="18"/>
                <w:szCs w:val="18"/>
                <w:lang w:val="en-US"/>
              </w:rPr>
            </w:pPr>
            <w:r w:rsidRPr="00FE16E6">
              <w:rPr>
                <w:sz w:val="18"/>
                <w:szCs w:val="18"/>
                <w:lang w:val="en-US"/>
              </w:rPr>
              <w:t>400-1200 (2-6)</w:t>
            </w:r>
          </w:p>
        </w:tc>
      </w:tr>
      <w:tr w:rsidR="009066FB" w14:paraId="6D1CC40B" w14:textId="77777777" w:rsidTr="00FF705B">
        <w:tc>
          <w:tcPr>
            <w:tcW w:w="2122" w:type="dxa"/>
          </w:tcPr>
          <w:p w14:paraId="09D77786" w14:textId="77777777" w:rsidR="009066FB" w:rsidRPr="00FE16E6" w:rsidRDefault="009066FB" w:rsidP="00FF705B">
            <w:pPr>
              <w:spacing w:line="480" w:lineRule="auto"/>
              <w:rPr>
                <w:sz w:val="18"/>
                <w:szCs w:val="18"/>
                <w:lang w:val="en-US"/>
              </w:rPr>
            </w:pPr>
            <w:r w:rsidRPr="00FE16E6">
              <w:rPr>
                <w:sz w:val="18"/>
                <w:szCs w:val="18"/>
                <w:lang w:val="en-US"/>
              </w:rPr>
              <w:t>Life Extension</w:t>
            </w:r>
          </w:p>
        </w:tc>
        <w:tc>
          <w:tcPr>
            <w:tcW w:w="1559" w:type="dxa"/>
          </w:tcPr>
          <w:p w14:paraId="2A10F49F" w14:textId="77777777" w:rsidR="009066FB" w:rsidRPr="00FE16E6" w:rsidRDefault="009066FB" w:rsidP="00FF705B">
            <w:pPr>
              <w:spacing w:line="480" w:lineRule="auto"/>
              <w:rPr>
                <w:sz w:val="18"/>
                <w:szCs w:val="18"/>
                <w:lang w:val="en-US"/>
              </w:rPr>
            </w:pPr>
            <w:r w:rsidRPr="00FE16E6">
              <w:rPr>
                <w:sz w:val="18"/>
                <w:szCs w:val="18"/>
                <w:lang w:val="en-US"/>
              </w:rPr>
              <w:t>400</w:t>
            </w:r>
          </w:p>
        </w:tc>
        <w:tc>
          <w:tcPr>
            <w:tcW w:w="2126" w:type="dxa"/>
          </w:tcPr>
          <w:p w14:paraId="6785404A" w14:textId="77777777" w:rsidR="009066FB" w:rsidRPr="00FE16E6" w:rsidRDefault="009066FB" w:rsidP="00FF705B">
            <w:pPr>
              <w:spacing w:line="480" w:lineRule="auto"/>
              <w:rPr>
                <w:sz w:val="18"/>
                <w:szCs w:val="18"/>
                <w:lang w:val="en-US"/>
              </w:rPr>
            </w:pPr>
            <w:r w:rsidRPr="00FE16E6">
              <w:rPr>
                <w:sz w:val="18"/>
                <w:szCs w:val="18"/>
                <w:lang w:val="en-US"/>
              </w:rPr>
              <w:t>Oral, 1-3 times daily</w:t>
            </w:r>
          </w:p>
        </w:tc>
        <w:tc>
          <w:tcPr>
            <w:tcW w:w="3543" w:type="dxa"/>
          </w:tcPr>
          <w:p w14:paraId="7E00507D" w14:textId="77777777" w:rsidR="009066FB" w:rsidRPr="00FE16E6" w:rsidRDefault="009066FB" w:rsidP="00FF705B">
            <w:pPr>
              <w:spacing w:line="480" w:lineRule="auto"/>
              <w:rPr>
                <w:sz w:val="18"/>
                <w:szCs w:val="18"/>
                <w:lang w:val="en-US"/>
              </w:rPr>
            </w:pPr>
            <w:r w:rsidRPr="00FE16E6">
              <w:rPr>
                <w:sz w:val="18"/>
                <w:szCs w:val="18"/>
                <w:lang w:val="en-US"/>
              </w:rPr>
              <w:t>400-1200 (1-3)</w:t>
            </w:r>
          </w:p>
        </w:tc>
      </w:tr>
      <w:tr w:rsidR="009066FB" w14:paraId="48775ABE" w14:textId="77777777" w:rsidTr="00FF705B">
        <w:tc>
          <w:tcPr>
            <w:tcW w:w="2122" w:type="dxa"/>
          </w:tcPr>
          <w:p w14:paraId="0399C4EC" w14:textId="77777777" w:rsidR="009066FB" w:rsidRPr="00FE16E6" w:rsidRDefault="009066FB" w:rsidP="00FF705B">
            <w:pPr>
              <w:spacing w:line="480" w:lineRule="auto"/>
              <w:rPr>
                <w:sz w:val="18"/>
                <w:szCs w:val="18"/>
                <w:lang w:val="en-US"/>
              </w:rPr>
            </w:pPr>
            <w:r w:rsidRPr="00FE16E6">
              <w:rPr>
                <w:sz w:val="18"/>
                <w:szCs w:val="18"/>
                <w:lang w:val="en-US"/>
              </w:rPr>
              <w:t>NutraLife</w:t>
            </w:r>
          </w:p>
        </w:tc>
        <w:tc>
          <w:tcPr>
            <w:tcW w:w="1559" w:type="dxa"/>
          </w:tcPr>
          <w:p w14:paraId="3D244D01" w14:textId="77777777" w:rsidR="009066FB" w:rsidRPr="00FE16E6" w:rsidRDefault="009066FB" w:rsidP="00FF705B">
            <w:pPr>
              <w:spacing w:line="480" w:lineRule="auto"/>
              <w:rPr>
                <w:sz w:val="18"/>
                <w:szCs w:val="18"/>
                <w:lang w:val="en-US"/>
              </w:rPr>
            </w:pPr>
            <w:r w:rsidRPr="00FE16E6">
              <w:rPr>
                <w:sz w:val="18"/>
                <w:szCs w:val="18"/>
                <w:lang w:val="en-US"/>
              </w:rPr>
              <w:t>200</w:t>
            </w:r>
          </w:p>
        </w:tc>
        <w:tc>
          <w:tcPr>
            <w:tcW w:w="2126" w:type="dxa"/>
          </w:tcPr>
          <w:p w14:paraId="34AAECD7" w14:textId="77777777" w:rsidR="009066FB" w:rsidRPr="00FE16E6" w:rsidRDefault="009066FB" w:rsidP="00FF705B">
            <w:pPr>
              <w:spacing w:line="480" w:lineRule="auto"/>
              <w:rPr>
                <w:sz w:val="18"/>
                <w:szCs w:val="18"/>
                <w:lang w:val="en-US"/>
              </w:rPr>
            </w:pPr>
            <w:r w:rsidRPr="00FE16E6">
              <w:rPr>
                <w:sz w:val="18"/>
                <w:szCs w:val="18"/>
                <w:lang w:val="en-US"/>
              </w:rPr>
              <w:t>Oral, once daily</w:t>
            </w:r>
          </w:p>
        </w:tc>
        <w:tc>
          <w:tcPr>
            <w:tcW w:w="3543" w:type="dxa"/>
          </w:tcPr>
          <w:p w14:paraId="1C4CC6E7" w14:textId="77777777" w:rsidR="009066FB" w:rsidRPr="00FE16E6" w:rsidRDefault="009066FB" w:rsidP="00FF705B">
            <w:pPr>
              <w:spacing w:line="480" w:lineRule="auto"/>
              <w:rPr>
                <w:sz w:val="18"/>
                <w:szCs w:val="18"/>
                <w:lang w:val="en-US"/>
              </w:rPr>
            </w:pPr>
            <w:r w:rsidRPr="00FE16E6">
              <w:rPr>
                <w:sz w:val="18"/>
                <w:szCs w:val="18"/>
                <w:lang w:val="en-US"/>
              </w:rPr>
              <w:t>400 (2)</w:t>
            </w:r>
          </w:p>
        </w:tc>
      </w:tr>
      <w:tr w:rsidR="009066FB" w14:paraId="7BC3365B" w14:textId="77777777" w:rsidTr="00FF705B">
        <w:tc>
          <w:tcPr>
            <w:tcW w:w="2122" w:type="dxa"/>
          </w:tcPr>
          <w:p w14:paraId="25E10829" w14:textId="77777777" w:rsidR="009066FB" w:rsidRPr="00FE16E6" w:rsidRDefault="009066FB" w:rsidP="00FF705B">
            <w:pPr>
              <w:spacing w:line="480" w:lineRule="auto"/>
              <w:rPr>
                <w:sz w:val="18"/>
                <w:szCs w:val="18"/>
                <w:lang w:val="en-US"/>
              </w:rPr>
            </w:pPr>
            <w:r w:rsidRPr="00FE16E6">
              <w:rPr>
                <w:sz w:val="18"/>
                <w:szCs w:val="18"/>
                <w:lang w:val="en-US"/>
              </w:rPr>
              <w:t>Source Naturals</w:t>
            </w:r>
          </w:p>
        </w:tc>
        <w:tc>
          <w:tcPr>
            <w:tcW w:w="1559" w:type="dxa"/>
          </w:tcPr>
          <w:p w14:paraId="4502DE44" w14:textId="77777777" w:rsidR="009066FB" w:rsidRPr="00FE16E6" w:rsidRDefault="009066FB" w:rsidP="00FF705B">
            <w:pPr>
              <w:spacing w:line="480" w:lineRule="auto"/>
              <w:rPr>
                <w:sz w:val="18"/>
                <w:szCs w:val="18"/>
                <w:lang w:val="en-US"/>
              </w:rPr>
            </w:pPr>
            <w:r w:rsidRPr="00FE16E6">
              <w:rPr>
                <w:sz w:val="18"/>
                <w:szCs w:val="18"/>
                <w:lang w:val="en-US"/>
              </w:rPr>
              <w:t>400</w:t>
            </w:r>
          </w:p>
        </w:tc>
        <w:tc>
          <w:tcPr>
            <w:tcW w:w="2126" w:type="dxa"/>
          </w:tcPr>
          <w:p w14:paraId="1A15BA96" w14:textId="77777777" w:rsidR="009066FB" w:rsidRPr="00FE16E6" w:rsidRDefault="009066FB" w:rsidP="00FF705B">
            <w:pPr>
              <w:spacing w:line="480" w:lineRule="auto"/>
              <w:rPr>
                <w:sz w:val="18"/>
                <w:szCs w:val="18"/>
                <w:lang w:val="en-US"/>
              </w:rPr>
            </w:pPr>
            <w:r w:rsidRPr="00FE16E6">
              <w:rPr>
                <w:sz w:val="18"/>
                <w:szCs w:val="18"/>
                <w:lang w:val="en-US"/>
              </w:rPr>
              <w:t>Oral, 1-3 times daily</w:t>
            </w:r>
          </w:p>
        </w:tc>
        <w:tc>
          <w:tcPr>
            <w:tcW w:w="3543" w:type="dxa"/>
          </w:tcPr>
          <w:p w14:paraId="4EA3C4D6" w14:textId="77777777" w:rsidR="009066FB" w:rsidRPr="00FE16E6" w:rsidRDefault="009066FB" w:rsidP="00FF705B">
            <w:pPr>
              <w:spacing w:line="480" w:lineRule="auto"/>
              <w:rPr>
                <w:sz w:val="18"/>
                <w:szCs w:val="18"/>
                <w:lang w:val="en-US"/>
              </w:rPr>
            </w:pPr>
            <w:r w:rsidRPr="00FE16E6">
              <w:rPr>
                <w:sz w:val="18"/>
                <w:szCs w:val="18"/>
                <w:lang w:val="en-US"/>
              </w:rPr>
              <w:t>400-1200 (1-3)</w:t>
            </w:r>
          </w:p>
        </w:tc>
      </w:tr>
      <w:tr w:rsidR="009066FB" w14:paraId="088571A8" w14:textId="77777777" w:rsidTr="00FF705B">
        <w:tc>
          <w:tcPr>
            <w:tcW w:w="2122" w:type="dxa"/>
          </w:tcPr>
          <w:p w14:paraId="0B09417D" w14:textId="77777777" w:rsidR="009066FB" w:rsidRPr="00FE16E6" w:rsidRDefault="009066FB" w:rsidP="00FF705B">
            <w:pPr>
              <w:spacing w:line="480" w:lineRule="auto"/>
              <w:rPr>
                <w:sz w:val="18"/>
                <w:szCs w:val="18"/>
                <w:lang w:val="en-US"/>
              </w:rPr>
            </w:pPr>
            <w:r w:rsidRPr="00FE16E6">
              <w:rPr>
                <w:sz w:val="18"/>
                <w:szCs w:val="18"/>
                <w:lang w:val="en-US"/>
              </w:rPr>
              <w:t>California Gold Nutrition</w:t>
            </w:r>
          </w:p>
        </w:tc>
        <w:tc>
          <w:tcPr>
            <w:tcW w:w="1559" w:type="dxa"/>
          </w:tcPr>
          <w:p w14:paraId="7D2218C5" w14:textId="77777777" w:rsidR="009066FB" w:rsidRPr="00FE16E6" w:rsidRDefault="009066FB" w:rsidP="00FF705B">
            <w:pPr>
              <w:spacing w:line="480" w:lineRule="auto"/>
              <w:rPr>
                <w:sz w:val="18"/>
                <w:szCs w:val="18"/>
                <w:lang w:val="en-US"/>
              </w:rPr>
            </w:pPr>
            <w:r w:rsidRPr="00FE16E6">
              <w:rPr>
                <w:sz w:val="18"/>
                <w:szCs w:val="18"/>
                <w:lang w:val="en-US"/>
              </w:rPr>
              <w:t>400</w:t>
            </w:r>
          </w:p>
        </w:tc>
        <w:tc>
          <w:tcPr>
            <w:tcW w:w="2126" w:type="dxa"/>
          </w:tcPr>
          <w:p w14:paraId="201D3EE5" w14:textId="77777777" w:rsidR="009066FB" w:rsidRPr="00FE16E6" w:rsidRDefault="009066FB" w:rsidP="00FF705B">
            <w:pPr>
              <w:spacing w:line="480" w:lineRule="auto"/>
              <w:rPr>
                <w:sz w:val="18"/>
                <w:szCs w:val="18"/>
                <w:lang w:val="en-US"/>
              </w:rPr>
            </w:pPr>
            <w:r w:rsidRPr="00FE16E6">
              <w:rPr>
                <w:sz w:val="18"/>
                <w:szCs w:val="18"/>
                <w:lang w:val="en-US"/>
              </w:rPr>
              <w:t>Oral, once daily</w:t>
            </w:r>
          </w:p>
        </w:tc>
        <w:tc>
          <w:tcPr>
            <w:tcW w:w="3543" w:type="dxa"/>
          </w:tcPr>
          <w:p w14:paraId="1D029E73" w14:textId="77777777" w:rsidR="009066FB" w:rsidRPr="00FE16E6" w:rsidRDefault="009066FB" w:rsidP="00FF705B">
            <w:pPr>
              <w:spacing w:line="480" w:lineRule="auto"/>
              <w:rPr>
                <w:sz w:val="18"/>
                <w:szCs w:val="18"/>
                <w:lang w:val="en-US"/>
              </w:rPr>
            </w:pPr>
            <w:r w:rsidRPr="00FE16E6">
              <w:rPr>
                <w:sz w:val="18"/>
                <w:szCs w:val="18"/>
                <w:lang w:val="en-US"/>
              </w:rPr>
              <w:t>400 (1)</w:t>
            </w:r>
          </w:p>
        </w:tc>
      </w:tr>
      <w:tr w:rsidR="009066FB" w14:paraId="516D2405" w14:textId="77777777" w:rsidTr="00FF705B">
        <w:tc>
          <w:tcPr>
            <w:tcW w:w="2122" w:type="dxa"/>
          </w:tcPr>
          <w:p w14:paraId="0265DF46" w14:textId="77777777" w:rsidR="009066FB" w:rsidRPr="00FE16E6" w:rsidRDefault="009066FB" w:rsidP="00FF705B">
            <w:pPr>
              <w:spacing w:line="480" w:lineRule="auto"/>
              <w:rPr>
                <w:sz w:val="18"/>
                <w:szCs w:val="18"/>
                <w:lang w:val="en-US"/>
              </w:rPr>
            </w:pPr>
            <w:r w:rsidRPr="00FE16E6">
              <w:rPr>
                <w:sz w:val="18"/>
                <w:szCs w:val="18"/>
                <w:lang w:val="en-US"/>
              </w:rPr>
              <w:t>Natural Factors</w:t>
            </w:r>
          </w:p>
        </w:tc>
        <w:tc>
          <w:tcPr>
            <w:tcW w:w="1559" w:type="dxa"/>
          </w:tcPr>
          <w:p w14:paraId="19333E79" w14:textId="77777777" w:rsidR="009066FB" w:rsidRPr="00FE16E6" w:rsidRDefault="009066FB" w:rsidP="00FF705B">
            <w:pPr>
              <w:spacing w:line="480" w:lineRule="auto"/>
              <w:rPr>
                <w:sz w:val="18"/>
                <w:szCs w:val="18"/>
                <w:lang w:val="en-US"/>
              </w:rPr>
            </w:pPr>
            <w:r w:rsidRPr="00FE16E6">
              <w:rPr>
                <w:sz w:val="18"/>
                <w:szCs w:val="18"/>
                <w:lang w:val="en-US"/>
              </w:rPr>
              <w:t>200</w:t>
            </w:r>
          </w:p>
        </w:tc>
        <w:tc>
          <w:tcPr>
            <w:tcW w:w="2126" w:type="dxa"/>
          </w:tcPr>
          <w:p w14:paraId="5DF06AB8" w14:textId="77777777" w:rsidR="009066FB" w:rsidRPr="00FE16E6" w:rsidRDefault="009066FB" w:rsidP="00FF705B">
            <w:pPr>
              <w:spacing w:line="480" w:lineRule="auto"/>
              <w:rPr>
                <w:sz w:val="18"/>
                <w:szCs w:val="18"/>
                <w:lang w:val="en-US"/>
              </w:rPr>
            </w:pPr>
            <w:r w:rsidRPr="00FE16E6">
              <w:rPr>
                <w:sz w:val="18"/>
                <w:szCs w:val="18"/>
                <w:lang w:val="en-US"/>
              </w:rPr>
              <w:t>Oral, twice daily</w:t>
            </w:r>
          </w:p>
        </w:tc>
        <w:tc>
          <w:tcPr>
            <w:tcW w:w="3543" w:type="dxa"/>
          </w:tcPr>
          <w:p w14:paraId="6B3AFF9D" w14:textId="77777777" w:rsidR="009066FB" w:rsidRPr="00FE16E6" w:rsidRDefault="009066FB" w:rsidP="00FF705B">
            <w:pPr>
              <w:spacing w:line="480" w:lineRule="auto"/>
              <w:rPr>
                <w:sz w:val="18"/>
                <w:szCs w:val="18"/>
                <w:lang w:val="en-US"/>
              </w:rPr>
            </w:pPr>
            <w:r w:rsidRPr="00FE16E6">
              <w:rPr>
                <w:sz w:val="18"/>
                <w:szCs w:val="18"/>
                <w:lang w:val="en-US"/>
              </w:rPr>
              <w:t>200-1600 (1-8)</w:t>
            </w:r>
          </w:p>
        </w:tc>
      </w:tr>
      <w:tr w:rsidR="009066FB" w14:paraId="23BF2A3F" w14:textId="77777777" w:rsidTr="00FF705B">
        <w:tc>
          <w:tcPr>
            <w:tcW w:w="2122" w:type="dxa"/>
          </w:tcPr>
          <w:p w14:paraId="630BA290" w14:textId="77777777" w:rsidR="009066FB" w:rsidRPr="00FE16E6" w:rsidRDefault="009066FB" w:rsidP="00FF705B">
            <w:pPr>
              <w:spacing w:line="480" w:lineRule="auto"/>
              <w:rPr>
                <w:sz w:val="18"/>
                <w:szCs w:val="18"/>
                <w:lang w:val="en-US"/>
              </w:rPr>
            </w:pPr>
            <w:r w:rsidRPr="00FE16E6">
              <w:rPr>
                <w:sz w:val="18"/>
                <w:szCs w:val="18"/>
                <w:lang w:val="en-US"/>
              </w:rPr>
              <w:t>Jarrow Formulas</w:t>
            </w:r>
          </w:p>
        </w:tc>
        <w:tc>
          <w:tcPr>
            <w:tcW w:w="1559" w:type="dxa"/>
          </w:tcPr>
          <w:p w14:paraId="50686AD8" w14:textId="77777777" w:rsidR="009066FB" w:rsidRPr="00FE16E6" w:rsidRDefault="009066FB" w:rsidP="00FF705B">
            <w:pPr>
              <w:spacing w:line="480" w:lineRule="auto"/>
              <w:rPr>
                <w:sz w:val="18"/>
                <w:szCs w:val="18"/>
                <w:lang w:val="en-US"/>
              </w:rPr>
            </w:pPr>
            <w:r w:rsidRPr="00FE16E6">
              <w:rPr>
                <w:sz w:val="18"/>
                <w:szCs w:val="18"/>
                <w:lang w:val="en-US"/>
              </w:rPr>
              <w:t>200</w:t>
            </w:r>
          </w:p>
        </w:tc>
        <w:tc>
          <w:tcPr>
            <w:tcW w:w="2126" w:type="dxa"/>
          </w:tcPr>
          <w:p w14:paraId="50D7B5F6" w14:textId="77777777" w:rsidR="009066FB" w:rsidRPr="00FE16E6" w:rsidRDefault="009066FB" w:rsidP="00FF705B">
            <w:pPr>
              <w:spacing w:line="480" w:lineRule="auto"/>
              <w:rPr>
                <w:sz w:val="18"/>
                <w:szCs w:val="18"/>
                <w:lang w:val="en-US"/>
              </w:rPr>
            </w:pPr>
            <w:r w:rsidRPr="00FE16E6">
              <w:rPr>
                <w:sz w:val="18"/>
                <w:szCs w:val="18"/>
                <w:lang w:val="en-US"/>
              </w:rPr>
              <w:t>Oral, 1-2 times daily</w:t>
            </w:r>
          </w:p>
        </w:tc>
        <w:tc>
          <w:tcPr>
            <w:tcW w:w="3543" w:type="dxa"/>
          </w:tcPr>
          <w:p w14:paraId="7E6C81DE" w14:textId="77777777" w:rsidR="009066FB" w:rsidRPr="00FE16E6" w:rsidRDefault="009066FB" w:rsidP="00FF705B">
            <w:pPr>
              <w:spacing w:line="480" w:lineRule="auto"/>
              <w:rPr>
                <w:sz w:val="18"/>
                <w:szCs w:val="18"/>
                <w:lang w:val="en-US"/>
              </w:rPr>
            </w:pPr>
            <w:r w:rsidRPr="00FE16E6">
              <w:rPr>
                <w:sz w:val="18"/>
                <w:szCs w:val="18"/>
                <w:lang w:val="en-US"/>
              </w:rPr>
              <w:t>200-400 (1-2)</w:t>
            </w:r>
          </w:p>
        </w:tc>
      </w:tr>
      <w:tr w:rsidR="009066FB" w14:paraId="3E41547F" w14:textId="77777777" w:rsidTr="00FF705B">
        <w:tc>
          <w:tcPr>
            <w:tcW w:w="2122" w:type="dxa"/>
          </w:tcPr>
          <w:p w14:paraId="77C46B74" w14:textId="77777777" w:rsidR="009066FB" w:rsidRPr="00FE16E6" w:rsidRDefault="009066FB" w:rsidP="00FF705B">
            <w:pPr>
              <w:spacing w:line="480" w:lineRule="auto"/>
              <w:rPr>
                <w:sz w:val="18"/>
                <w:szCs w:val="18"/>
                <w:lang w:val="en-US"/>
              </w:rPr>
            </w:pPr>
            <w:r w:rsidRPr="00FE16E6">
              <w:rPr>
                <w:sz w:val="18"/>
                <w:szCs w:val="18"/>
                <w:lang w:val="en-US"/>
              </w:rPr>
              <w:t>Jarrow Formulas</w:t>
            </w:r>
          </w:p>
        </w:tc>
        <w:tc>
          <w:tcPr>
            <w:tcW w:w="1559" w:type="dxa"/>
          </w:tcPr>
          <w:p w14:paraId="455B46AA" w14:textId="77777777" w:rsidR="009066FB" w:rsidRPr="00FE16E6" w:rsidRDefault="009066FB" w:rsidP="00FF705B">
            <w:pPr>
              <w:spacing w:line="480" w:lineRule="auto"/>
              <w:rPr>
                <w:sz w:val="18"/>
                <w:szCs w:val="18"/>
                <w:lang w:val="en-US"/>
              </w:rPr>
            </w:pPr>
            <w:r w:rsidRPr="00FE16E6">
              <w:rPr>
                <w:sz w:val="18"/>
                <w:szCs w:val="18"/>
                <w:lang w:val="en-US"/>
              </w:rPr>
              <w:t>400</w:t>
            </w:r>
          </w:p>
        </w:tc>
        <w:tc>
          <w:tcPr>
            <w:tcW w:w="2126" w:type="dxa"/>
          </w:tcPr>
          <w:p w14:paraId="59B2B59B" w14:textId="77777777" w:rsidR="009066FB" w:rsidRPr="00FE16E6" w:rsidRDefault="009066FB" w:rsidP="00FF705B">
            <w:pPr>
              <w:spacing w:line="480" w:lineRule="auto"/>
              <w:rPr>
                <w:sz w:val="18"/>
                <w:szCs w:val="18"/>
                <w:lang w:val="en-US"/>
              </w:rPr>
            </w:pPr>
            <w:r w:rsidRPr="00FE16E6">
              <w:rPr>
                <w:sz w:val="18"/>
                <w:szCs w:val="18"/>
                <w:lang w:val="en-US"/>
              </w:rPr>
              <w:t>Oral, once daily</w:t>
            </w:r>
          </w:p>
        </w:tc>
        <w:tc>
          <w:tcPr>
            <w:tcW w:w="3543" w:type="dxa"/>
          </w:tcPr>
          <w:p w14:paraId="37EDF0F2" w14:textId="77777777" w:rsidR="009066FB" w:rsidRPr="00FE16E6" w:rsidRDefault="009066FB" w:rsidP="00FF705B">
            <w:pPr>
              <w:spacing w:line="480" w:lineRule="auto"/>
              <w:rPr>
                <w:sz w:val="18"/>
                <w:szCs w:val="18"/>
                <w:lang w:val="en-US"/>
              </w:rPr>
            </w:pPr>
            <w:r w:rsidRPr="00FE16E6">
              <w:rPr>
                <w:sz w:val="18"/>
                <w:szCs w:val="18"/>
                <w:lang w:val="en-US"/>
              </w:rPr>
              <w:t>400 (1)</w:t>
            </w:r>
          </w:p>
        </w:tc>
      </w:tr>
      <w:tr w:rsidR="009066FB" w14:paraId="31557C06" w14:textId="77777777" w:rsidTr="00FF705B">
        <w:tc>
          <w:tcPr>
            <w:tcW w:w="2122" w:type="dxa"/>
          </w:tcPr>
          <w:p w14:paraId="6B536B25" w14:textId="77777777" w:rsidR="009066FB" w:rsidRPr="00FE16E6" w:rsidRDefault="009066FB" w:rsidP="00FF705B">
            <w:pPr>
              <w:spacing w:line="480" w:lineRule="auto"/>
              <w:rPr>
                <w:sz w:val="18"/>
                <w:szCs w:val="18"/>
                <w:lang w:val="en-US"/>
              </w:rPr>
            </w:pPr>
            <w:r w:rsidRPr="00FE16E6">
              <w:rPr>
                <w:sz w:val="18"/>
                <w:szCs w:val="18"/>
                <w:lang w:val="en-US"/>
              </w:rPr>
              <w:t>NOW Foods</w:t>
            </w:r>
          </w:p>
        </w:tc>
        <w:tc>
          <w:tcPr>
            <w:tcW w:w="1559" w:type="dxa"/>
          </w:tcPr>
          <w:p w14:paraId="7A425091" w14:textId="77777777" w:rsidR="009066FB" w:rsidRPr="00FE16E6" w:rsidRDefault="009066FB" w:rsidP="00FF705B">
            <w:pPr>
              <w:spacing w:line="480" w:lineRule="auto"/>
              <w:rPr>
                <w:sz w:val="18"/>
                <w:szCs w:val="18"/>
                <w:lang w:val="en-US"/>
              </w:rPr>
            </w:pPr>
            <w:r w:rsidRPr="00FE16E6">
              <w:rPr>
                <w:sz w:val="18"/>
                <w:szCs w:val="18"/>
                <w:lang w:val="en-US"/>
              </w:rPr>
              <w:t>200</w:t>
            </w:r>
          </w:p>
        </w:tc>
        <w:tc>
          <w:tcPr>
            <w:tcW w:w="2126" w:type="dxa"/>
          </w:tcPr>
          <w:p w14:paraId="5D19BAB1" w14:textId="77777777" w:rsidR="009066FB" w:rsidRPr="00FE16E6" w:rsidRDefault="009066FB" w:rsidP="00FF705B">
            <w:pPr>
              <w:spacing w:line="480" w:lineRule="auto"/>
              <w:rPr>
                <w:sz w:val="18"/>
                <w:szCs w:val="18"/>
                <w:lang w:val="en-US"/>
              </w:rPr>
            </w:pPr>
            <w:r w:rsidRPr="00FE16E6">
              <w:rPr>
                <w:sz w:val="18"/>
                <w:szCs w:val="18"/>
                <w:lang w:val="en-US"/>
              </w:rPr>
              <w:t>Oral, 2-4 times daily</w:t>
            </w:r>
          </w:p>
        </w:tc>
        <w:tc>
          <w:tcPr>
            <w:tcW w:w="3543" w:type="dxa"/>
          </w:tcPr>
          <w:p w14:paraId="3F1C076B" w14:textId="77777777" w:rsidR="009066FB" w:rsidRPr="00FE16E6" w:rsidRDefault="009066FB" w:rsidP="00FF705B">
            <w:pPr>
              <w:spacing w:line="480" w:lineRule="auto"/>
              <w:rPr>
                <w:sz w:val="18"/>
                <w:szCs w:val="18"/>
                <w:lang w:val="en-US"/>
              </w:rPr>
            </w:pPr>
            <w:r w:rsidRPr="00FE16E6">
              <w:rPr>
                <w:sz w:val="18"/>
                <w:szCs w:val="18"/>
                <w:lang w:val="en-US"/>
              </w:rPr>
              <w:t>400-800 (2-4)</w:t>
            </w:r>
          </w:p>
        </w:tc>
      </w:tr>
      <w:tr w:rsidR="009066FB" w14:paraId="120419C8" w14:textId="77777777" w:rsidTr="00FF705B">
        <w:tc>
          <w:tcPr>
            <w:tcW w:w="2122" w:type="dxa"/>
          </w:tcPr>
          <w:p w14:paraId="3783B817" w14:textId="77777777" w:rsidR="009066FB" w:rsidRPr="00FE16E6" w:rsidRDefault="009066FB" w:rsidP="00FF705B">
            <w:pPr>
              <w:spacing w:line="480" w:lineRule="auto"/>
              <w:rPr>
                <w:sz w:val="18"/>
                <w:szCs w:val="18"/>
                <w:lang w:val="en-US"/>
              </w:rPr>
            </w:pPr>
            <w:r w:rsidRPr="00FE16E6">
              <w:rPr>
                <w:sz w:val="18"/>
                <w:szCs w:val="18"/>
                <w:lang w:val="en-US"/>
              </w:rPr>
              <w:t>NOW Foods</w:t>
            </w:r>
          </w:p>
        </w:tc>
        <w:tc>
          <w:tcPr>
            <w:tcW w:w="1559" w:type="dxa"/>
          </w:tcPr>
          <w:p w14:paraId="533A0FE3" w14:textId="77777777" w:rsidR="009066FB" w:rsidRPr="00FE16E6" w:rsidRDefault="009066FB" w:rsidP="00FF705B">
            <w:pPr>
              <w:spacing w:line="480" w:lineRule="auto"/>
              <w:rPr>
                <w:sz w:val="18"/>
                <w:szCs w:val="18"/>
                <w:lang w:val="en-US"/>
              </w:rPr>
            </w:pPr>
            <w:r w:rsidRPr="00FE16E6">
              <w:rPr>
                <w:sz w:val="18"/>
                <w:szCs w:val="18"/>
                <w:lang w:val="en-US"/>
              </w:rPr>
              <w:t>400</w:t>
            </w:r>
          </w:p>
        </w:tc>
        <w:tc>
          <w:tcPr>
            <w:tcW w:w="2126" w:type="dxa"/>
          </w:tcPr>
          <w:p w14:paraId="758066E1" w14:textId="77777777" w:rsidR="009066FB" w:rsidRPr="00FE16E6" w:rsidRDefault="009066FB" w:rsidP="00FF705B">
            <w:pPr>
              <w:spacing w:line="480" w:lineRule="auto"/>
              <w:rPr>
                <w:sz w:val="18"/>
                <w:szCs w:val="18"/>
                <w:lang w:val="en-US"/>
              </w:rPr>
            </w:pPr>
            <w:r w:rsidRPr="00FE16E6">
              <w:rPr>
                <w:sz w:val="18"/>
                <w:szCs w:val="18"/>
                <w:lang w:val="en-US"/>
              </w:rPr>
              <w:t>Oral, 2-4 times daily</w:t>
            </w:r>
          </w:p>
        </w:tc>
        <w:tc>
          <w:tcPr>
            <w:tcW w:w="3543" w:type="dxa"/>
          </w:tcPr>
          <w:p w14:paraId="59F7C9C3" w14:textId="77777777" w:rsidR="009066FB" w:rsidRPr="00FE16E6" w:rsidRDefault="009066FB" w:rsidP="00FF705B">
            <w:pPr>
              <w:spacing w:line="480" w:lineRule="auto"/>
              <w:rPr>
                <w:sz w:val="18"/>
                <w:szCs w:val="18"/>
                <w:lang w:val="en-US"/>
              </w:rPr>
            </w:pPr>
            <w:r w:rsidRPr="00FE16E6">
              <w:rPr>
                <w:sz w:val="18"/>
                <w:szCs w:val="18"/>
                <w:lang w:val="en-US"/>
              </w:rPr>
              <w:t>800-1600 (2-4)</w:t>
            </w:r>
          </w:p>
        </w:tc>
      </w:tr>
      <w:tr w:rsidR="009066FB" w14:paraId="3DFCFA8C" w14:textId="77777777" w:rsidTr="00FF705B">
        <w:tc>
          <w:tcPr>
            <w:tcW w:w="2122" w:type="dxa"/>
          </w:tcPr>
          <w:p w14:paraId="425DBC43" w14:textId="77777777" w:rsidR="009066FB" w:rsidRPr="00FE16E6" w:rsidRDefault="009066FB" w:rsidP="00FF705B">
            <w:pPr>
              <w:spacing w:line="480" w:lineRule="auto"/>
              <w:rPr>
                <w:sz w:val="18"/>
                <w:szCs w:val="18"/>
                <w:lang w:val="en-US"/>
              </w:rPr>
            </w:pPr>
            <w:r w:rsidRPr="00FE16E6">
              <w:rPr>
                <w:sz w:val="18"/>
                <w:szCs w:val="18"/>
                <w:lang w:val="en-US"/>
              </w:rPr>
              <w:t>Natrol</w:t>
            </w:r>
          </w:p>
        </w:tc>
        <w:tc>
          <w:tcPr>
            <w:tcW w:w="1559" w:type="dxa"/>
          </w:tcPr>
          <w:p w14:paraId="210C2F6F" w14:textId="77777777" w:rsidR="009066FB" w:rsidRPr="00FE16E6" w:rsidRDefault="009066FB" w:rsidP="00FF705B">
            <w:pPr>
              <w:spacing w:line="480" w:lineRule="auto"/>
              <w:rPr>
                <w:sz w:val="18"/>
                <w:szCs w:val="18"/>
                <w:lang w:val="en-US"/>
              </w:rPr>
            </w:pPr>
            <w:r w:rsidRPr="00FE16E6">
              <w:rPr>
                <w:sz w:val="18"/>
                <w:szCs w:val="18"/>
                <w:lang w:val="en-US"/>
              </w:rPr>
              <w:t>400</w:t>
            </w:r>
          </w:p>
        </w:tc>
        <w:tc>
          <w:tcPr>
            <w:tcW w:w="2126" w:type="dxa"/>
          </w:tcPr>
          <w:p w14:paraId="6B8467AC" w14:textId="77777777" w:rsidR="009066FB" w:rsidRPr="00FE16E6" w:rsidRDefault="009066FB" w:rsidP="00FF705B">
            <w:pPr>
              <w:spacing w:line="480" w:lineRule="auto"/>
              <w:rPr>
                <w:sz w:val="18"/>
                <w:szCs w:val="18"/>
                <w:lang w:val="en-US"/>
              </w:rPr>
            </w:pPr>
            <w:r w:rsidRPr="00FE16E6">
              <w:rPr>
                <w:sz w:val="18"/>
                <w:szCs w:val="18"/>
                <w:lang w:val="en-US"/>
              </w:rPr>
              <w:t>Oral, once daily</w:t>
            </w:r>
          </w:p>
        </w:tc>
        <w:tc>
          <w:tcPr>
            <w:tcW w:w="3543" w:type="dxa"/>
          </w:tcPr>
          <w:p w14:paraId="518A3415" w14:textId="77777777" w:rsidR="009066FB" w:rsidRPr="00FE16E6" w:rsidRDefault="009066FB" w:rsidP="00FF705B">
            <w:pPr>
              <w:spacing w:line="480" w:lineRule="auto"/>
              <w:rPr>
                <w:sz w:val="18"/>
                <w:szCs w:val="18"/>
                <w:lang w:val="en-US"/>
              </w:rPr>
            </w:pPr>
            <w:r w:rsidRPr="00FE16E6">
              <w:rPr>
                <w:sz w:val="18"/>
                <w:szCs w:val="18"/>
                <w:lang w:val="en-US"/>
              </w:rPr>
              <w:t>800 (2)</w:t>
            </w:r>
          </w:p>
        </w:tc>
      </w:tr>
      <w:tr w:rsidR="009066FB" w14:paraId="261F2A49" w14:textId="77777777" w:rsidTr="00FF705B">
        <w:tc>
          <w:tcPr>
            <w:tcW w:w="2122" w:type="dxa"/>
          </w:tcPr>
          <w:p w14:paraId="2D249C6F" w14:textId="77777777" w:rsidR="009066FB" w:rsidRPr="00FE16E6" w:rsidRDefault="009066FB" w:rsidP="00FF705B">
            <w:pPr>
              <w:spacing w:line="480" w:lineRule="auto"/>
              <w:rPr>
                <w:sz w:val="18"/>
                <w:szCs w:val="18"/>
                <w:lang w:val="en-US"/>
              </w:rPr>
            </w:pPr>
            <w:r w:rsidRPr="00FE16E6">
              <w:rPr>
                <w:sz w:val="18"/>
                <w:szCs w:val="18"/>
                <w:lang w:val="en-US"/>
              </w:rPr>
              <w:t>Piping Rock</w:t>
            </w:r>
          </w:p>
        </w:tc>
        <w:tc>
          <w:tcPr>
            <w:tcW w:w="1559" w:type="dxa"/>
          </w:tcPr>
          <w:p w14:paraId="7092246A" w14:textId="77777777" w:rsidR="009066FB" w:rsidRPr="00FE16E6" w:rsidRDefault="009066FB" w:rsidP="00FF705B">
            <w:pPr>
              <w:spacing w:line="480" w:lineRule="auto"/>
              <w:rPr>
                <w:sz w:val="18"/>
                <w:szCs w:val="18"/>
                <w:lang w:val="en-US"/>
              </w:rPr>
            </w:pPr>
            <w:r w:rsidRPr="00FE16E6">
              <w:rPr>
                <w:sz w:val="18"/>
                <w:szCs w:val="18"/>
                <w:lang w:val="en-US"/>
              </w:rPr>
              <w:t>400</w:t>
            </w:r>
          </w:p>
        </w:tc>
        <w:tc>
          <w:tcPr>
            <w:tcW w:w="2126" w:type="dxa"/>
          </w:tcPr>
          <w:p w14:paraId="318BEB66" w14:textId="77777777" w:rsidR="009066FB" w:rsidRPr="00FE16E6" w:rsidRDefault="009066FB" w:rsidP="00FF705B">
            <w:pPr>
              <w:spacing w:line="480" w:lineRule="auto"/>
              <w:rPr>
                <w:sz w:val="18"/>
                <w:szCs w:val="18"/>
                <w:lang w:val="en-US"/>
              </w:rPr>
            </w:pPr>
            <w:r w:rsidRPr="00FE16E6">
              <w:rPr>
                <w:sz w:val="18"/>
                <w:szCs w:val="18"/>
                <w:lang w:val="en-US"/>
              </w:rPr>
              <w:t>Oral, 1-3 times daily</w:t>
            </w:r>
          </w:p>
        </w:tc>
        <w:tc>
          <w:tcPr>
            <w:tcW w:w="3543" w:type="dxa"/>
          </w:tcPr>
          <w:p w14:paraId="5FD26951" w14:textId="77777777" w:rsidR="009066FB" w:rsidRPr="00FE16E6" w:rsidRDefault="009066FB" w:rsidP="00FF705B">
            <w:pPr>
              <w:spacing w:line="480" w:lineRule="auto"/>
              <w:rPr>
                <w:sz w:val="18"/>
                <w:szCs w:val="18"/>
                <w:lang w:val="en-US"/>
              </w:rPr>
            </w:pPr>
            <w:r w:rsidRPr="00FE16E6">
              <w:rPr>
                <w:sz w:val="18"/>
                <w:szCs w:val="18"/>
                <w:lang w:val="en-US"/>
              </w:rPr>
              <w:t>400-1200 (1-3)</w:t>
            </w:r>
          </w:p>
        </w:tc>
      </w:tr>
      <w:tr w:rsidR="009066FB" w14:paraId="564E94F2" w14:textId="77777777" w:rsidTr="00FF705B">
        <w:tc>
          <w:tcPr>
            <w:tcW w:w="2122" w:type="dxa"/>
          </w:tcPr>
          <w:p w14:paraId="14A5EE8A" w14:textId="77777777" w:rsidR="009066FB" w:rsidRPr="00FE16E6" w:rsidRDefault="009066FB" w:rsidP="00FF705B">
            <w:pPr>
              <w:spacing w:line="480" w:lineRule="auto"/>
              <w:rPr>
                <w:sz w:val="18"/>
                <w:szCs w:val="18"/>
                <w:lang w:val="en-US"/>
              </w:rPr>
            </w:pPr>
            <w:r w:rsidRPr="00FE16E6">
              <w:rPr>
                <w:sz w:val="18"/>
                <w:szCs w:val="18"/>
                <w:lang w:val="en-US"/>
              </w:rPr>
              <w:t>Pure Encapsulation</w:t>
            </w:r>
          </w:p>
        </w:tc>
        <w:tc>
          <w:tcPr>
            <w:tcW w:w="1559" w:type="dxa"/>
          </w:tcPr>
          <w:p w14:paraId="3CBCEA91" w14:textId="77777777" w:rsidR="009066FB" w:rsidRPr="00FE16E6" w:rsidRDefault="009066FB" w:rsidP="00FF705B">
            <w:pPr>
              <w:spacing w:line="480" w:lineRule="auto"/>
              <w:rPr>
                <w:sz w:val="18"/>
                <w:szCs w:val="18"/>
                <w:lang w:val="en-US"/>
              </w:rPr>
            </w:pPr>
            <w:r w:rsidRPr="00FE16E6">
              <w:rPr>
                <w:sz w:val="18"/>
                <w:szCs w:val="18"/>
                <w:lang w:val="en-US"/>
              </w:rPr>
              <w:t>200</w:t>
            </w:r>
          </w:p>
        </w:tc>
        <w:tc>
          <w:tcPr>
            <w:tcW w:w="2126" w:type="dxa"/>
          </w:tcPr>
          <w:p w14:paraId="367F8CA0" w14:textId="77777777" w:rsidR="009066FB" w:rsidRPr="00FE16E6" w:rsidRDefault="009066FB" w:rsidP="00FF705B">
            <w:pPr>
              <w:spacing w:line="480" w:lineRule="auto"/>
              <w:rPr>
                <w:sz w:val="18"/>
                <w:szCs w:val="18"/>
                <w:lang w:val="en-US"/>
              </w:rPr>
            </w:pPr>
            <w:r w:rsidRPr="00FE16E6">
              <w:rPr>
                <w:sz w:val="18"/>
                <w:szCs w:val="18"/>
                <w:lang w:val="en-US"/>
              </w:rPr>
              <w:t>Oral, 1-2 times daily</w:t>
            </w:r>
          </w:p>
        </w:tc>
        <w:tc>
          <w:tcPr>
            <w:tcW w:w="3543" w:type="dxa"/>
          </w:tcPr>
          <w:p w14:paraId="5642A8B2" w14:textId="77777777" w:rsidR="009066FB" w:rsidRPr="00FE16E6" w:rsidRDefault="009066FB" w:rsidP="00FF705B">
            <w:pPr>
              <w:spacing w:line="480" w:lineRule="auto"/>
              <w:rPr>
                <w:sz w:val="18"/>
                <w:szCs w:val="18"/>
                <w:lang w:val="en-US"/>
              </w:rPr>
            </w:pPr>
            <w:r w:rsidRPr="00FE16E6">
              <w:rPr>
                <w:sz w:val="18"/>
                <w:szCs w:val="18"/>
                <w:lang w:val="en-US"/>
              </w:rPr>
              <w:t>200-400 (1-2)</w:t>
            </w:r>
          </w:p>
        </w:tc>
      </w:tr>
      <w:tr w:rsidR="009066FB" w14:paraId="63CAD820" w14:textId="77777777" w:rsidTr="00FF705B">
        <w:tc>
          <w:tcPr>
            <w:tcW w:w="2122" w:type="dxa"/>
          </w:tcPr>
          <w:p w14:paraId="1FB4F16A" w14:textId="77777777" w:rsidR="009066FB" w:rsidRPr="00FE16E6" w:rsidRDefault="009066FB" w:rsidP="00FF705B">
            <w:pPr>
              <w:spacing w:line="480" w:lineRule="auto"/>
              <w:rPr>
                <w:sz w:val="18"/>
                <w:szCs w:val="18"/>
                <w:lang w:val="en-US"/>
              </w:rPr>
            </w:pPr>
            <w:r>
              <w:rPr>
                <w:sz w:val="18"/>
                <w:szCs w:val="18"/>
                <w:lang w:val="en-US"/>
              </w:rPr>
              <w:t>Swanson ULTRA</w:t>
            </w:r>
          </w:p>
        </w:tc>
        <w:tc>
          <w:tcPr>
            <w:tcW w:w="1559" w:type="dxa"/>
          </w:tcPr>
          <w:p w14:paraId="7B9E3FC1" w14:textId="77777777" w:rsidR="009066FB" w:rsidRPr="00FE16E6" w:rsidRDefault="009066FB" w:rsidP="00FF705B">
            <w:pPr>
              <w:spacing w:line="480" w:lineRule="auto"/>
              <w:rPr>
                <w:sz w:val="18"/>
                <w:szCs w:val="18"/>
                <w:lang w:val="en-US"/>
              </w:rPr>
            </w:pPr>
            <w:r>
              <w:rPr>
                <w:sz w:val="18"/>
                <w:szCs w:val="18"/>
                <w:lang w:val="en-US"/>
              </w:rPr>
              <w:t>400</w:t>
            </w:r>
          </w:p>
        </w:tc>
        <w:tc>
          <w:tcPr>
            <w:tcW w:w="2126" w:type="dxa"/>
          </w:tcPr>
          <w:p w14:paraId="0100BD90" w14:textId="77777777" w:rsidR="009066FB" w:rsidRPr="00FE16E6" w:rsidRDefault="009066FB" w:rsidP="00FF705B">
            <w:pPr>
              <w:spacing w:line="480" w:lineRule="auto"/>
              <w:rPr>
                <w:sz w:val="18"/>
                <w:szCs w:val="18"/>
                <w:lang w:val="en-US"/>
              </w:rPr>
            </w:pPr>
            <w:r>
              <w:rPr>
                <w:sz w:val="18"/>
                <w:szCs w:val="18"/>
                <w:lang w:val="en-US"/>
              </w:rPr>
              <w:t>Oral, 1-4 times daily</w:t>
            </w:r>
          </w:p>
        </w:tc>
        <w:tc>
          <w:tcPr>
            <w:tcW w:w="3543" w:type="dxa"/>
          </w:tcPr>
          <w:p w14:paraId="1474E6E7" w14:textId="77777777" w:rsidR="009066FB" w:rsidRPr="00FE16E6" w:rsidRDefault="009066FB" w:rsidP="00FF705B">
            <w:pPr>
              <w:spacing w:line="480" w:lineRule="auto"/>
              <w:rPr>
                <w:sz w:val="18"/>
                <w:szCs w:val="18"/>
                <w:lang w:val="en-US"/>
              </w:rPr>
            </w:pPr>
            <w:r>
              <w:rPr>
                <w:sz w:val="18"/>
                <w:szCs w:val="18"/>
                <w:lang w:val="en-US"/>
              </w:rPr>
              <w:t>400-1600 (1-4)</w:t>
            </w:r>
          </w:p>
        </w:tc>
      </w:tr>
      <w:tr w:rsidR="009066FB" w14:paraId="0438E2D5" w14:textId="77777777" w:rsidTr="00FF705B">
        <w:tc>
          <w:tcPr>
            <w:tcW w:w="2122" w:type="dxa"/>
          </w:tcPr>
          <w:p w14:paraId="77D22F68" w14:textId="77777777" w:rsidR="009066FB" w:rsidRDefault="009066FB" w:rsidP="00FF705B">
            <w:pPr>
              <w:spacing w:line="480" w:lineRule="auto"/>
              <w:rPr>
                <w:sz w:val="18"/>
                <w:szCs w:val="18"/>
                <w:lang w:val="en-US"/>
              </w:rPr>
            </w:pPr>
            <w:r>
              <w:rPr>
                <w:sz w:val="18"/>
                <w:szCs w:val="18"/>
                <w:lang w:val="en-US"/>
              </w:rPr>
              <w:t>Douglas Laboratories</w:t>
            </w:r>
          </w:p>
        </w:tc>
        <w:tc>
          <w:tcPr>
            <w:tcW w:w="1559" w:type="dxa"/>
          </w:tcPr>
          <w:p w14:paraId="5571A0F7" w14:textId="77777777" w:rsidR="009066FB" w:rsidRDefault="009066FB" w:rsidP="00FF705B">
            <w:pPr>
              <w:spacing w:line="480" w:lineRule="auto"/>
              <w:rPr>
                <w:sz w:val="18"/>
                <w:szCs w:val="18"/>
                <w:lang w:val="en-US"/>
              </w:rPr>
            </w:pPr>
            <w:r>
              <w:rPr>
                <w:sz w:val="18"/>
                <w:szCs w:val="18"/>
                <w:lang w:val="en-US"/>
              </w:rPr>
              <w:t>200</w:t>
            </w:r>
          </w:p>
        </w:tc>
        <w:tc>
          <w:tcPr>
            <w:tcW w:w="2126" w:type="dxa"/>
          </w:tcPr>
          <w:p w14:paraId="03390B10" w14:textId="77777777" w:rsidR="009066FB" w:rsidRDefault="009066FB" w:rsidP="00FF705B">
            <w:pPr>
              <w:spacing w:line="480" w:lineRule="auto"/>
              <w:rPr>
                <w:sz w:val="18"/>
                <w:szCs w:val="18"/>
                <w:lang w:val="en-US"/>
              </w:rPr>
            </w:pPr>
            <w:r>
              <w:rPr>
                <w:sz w:val="18"/>
                <w:szCs w:val="18"/>
                <w:lang w:val="en-US"/>
              </w:rPr>
              <w:t>Oral, 1-2 times daily</w:t>
            </w:r>
          </w:p>
        </w:tc>
        <w:tc>
          <w:tcPr>
            <w:tcW w:w="3543" w:type="dxa"/>
          </w:tcPr>
          <w:p w14:paraId="3E6A046F" w14:textId="77777777" w:rsidR="009066FB" w:rsidRDefault="009066FB" w:rsidP="00FF705B">
            <w:pPr>
              <w:spacing w:line="480" w:lineRule="auto"/>
              <w:rPr>
                <w:sz w:val="18"/>
                <w:szCs w:val="18"/>
                <w:lang w:val="en-US"/>
              </w:rPr>
            </w:pPr>
            <w:r>
              <w:rPr>
                <w:sz w:val="18"/>
                <w:szCs w:val="18"/>
                <w:lang w:val="en-US"/>
              </w:rPr>
              <w:t>200-400 (1-2)</w:t>
            </w:r>
          </w:p>
        </w:tc>
      </w:tr>
      <w:tr w:rsidR="009066FB" w14:paraId="18C4E4D3" w14:textId="77777777" w:rsidTr="00FF705B">
        <w:tc>
          <w:tcPr>
            <w:tcW w:w="2122" w:type="dxa"/>
          </w:tcPr>
          <w:p w14:paraId="1562BAF5" w14:textId="77777777" w:rsidR="009066FB" w:rsidRDefault="009066FB" w:rsidP="00FF705B">
            <w:pPr>
              <w:spacing w:line="480" w:lineRule="auto"/>
              <w:rPr>
                <w:sz w:val="18"/>
                <w:szCs w:val="18"/>
                <w:lang w:val="en-US"/>
              </w:rPr>
            </w:pPr>
            <w:r>
              <w:rPr>
                <w:sz w:val="18"/>
                <w:szCs w:val="18"/>
                <w:lang w:val="en-US"/>
              </w:rPr>
              <w:t>Bioclinic Naturals</w:t>
            </w:r>
          </w:p>
        </w:tc>
        <w:tc>
          <w:tcPr>
            <w:tcW w:w="1559" w:type="dxa"/>
          </w:tcPr>
          <w:p w14:paraId="07AAF79D" w14:textId="77777777" w:rsidR="009066FB" w:rsidRDefault="009066FB" w:rsidP="00FF705B">
            <w:pPr>
              <w:spacing w:line="480" w:lineRule="auto"/>
              <w:rPr>
                <w:sz w:val="18"/>
                <w:szCs w:val="18"/>
                <w:lang w:val="en-US"/>
              </w:rPr>
            </w:pPr>
            <w:r>
              <w:rPr>
                <w:sz w:val="18"/>
                <w:szCs w:val="18"/>
                <w:lang w:val="en-US"/>
              </w:rPr>
              <w:t>200</w:t>
            </w:r>
          </w:p>
        </w:tc>
        <w:tc>
          <w:tcPr>
            <w:tcW w:w="2126" w:type="dxa"/>
          </w:tcPr>
          <w:p w14:paraId="44E9F4C3" w14:textId="77777777" w:rsidR="009066FB" w:rsidRDefault="009066FB" w:rsidP="00FF705B">
            <w:pPr>
              <w:spacing w:line="480" w:lineRule="auto"/>
              <w:rPr>
                <w:sz w:val="18"/>
                <w:szCs w:val="18"/>
                <w:lang w:val="en-US"/>
              </w:rPr>
            </w:pPr>
            <w:r>
              <w:rPr>
                <w:sz w:val="18"/>
                <w:szCs w:val="18"/>
                <w:lang w:val="en-US"/>
              </w:rPr>
              <w:t>Oral, 1-4 pills twice daily</w:t>
            </w:r>
          </w:p>
        </w:tc>
        <w:tc>
          <w:tcPr>
            <w:tcW w:w="3543" w:type="dxa"/>
          </w:tcPr>
          <w:p w14:paraId="5E5FB58E" w14:textId="77777777" w:rsidR="009066FB" w:rsidRDefault="009066FB" w:rsidP="00FF705B">
            <w:pPr>
              <w:spacing w:line="480" w:lineRule="auto"/>
              <w:rPr>
                <w:sz w:val="18"/>
                <w:szCs w:val="18"/>
                <w:lang w:val="en-US"/>
              </w:rPr>
            </w:pPr>
            <w:r>
              <w:rPr>
                <w:sz w:val="18"/>
                <w:szCs w:val="18"/>
                <w:lang w:val="en-US"/>
              </w:rPr>
              <w:t>200-1600 (2-8)</w:t>
            </w:r>
          </w:p>
        </w:tc>
      </w:tr>
      <w:tr w:rsidR="009066FB" w14:paraId="01C7FCED" w14:textId="77777777" w:rsidTr="00FF705B">
        <w:tc>
          <w:tcPr>
            <w:tcW w:w="2122" w:type="dxa"/>
          </w:tcPr>
          <w:p w14:paraId="548B3D21" w14:textId="77777777" w:rsidR="009066FB" w:rsidRDefault="009066FB" w:rsidP="00FF705B">
            <w:pPr>
              <w:spacing w:line="480" w:lineRule="auto"/>
              <w:rPr>
                <w:sz w:val="18"/>
                <w:szCs w:val="18"/>
                <w:lang w:val="en-US"/>
              </w:rPr>
            </w:pPr>
            <w:r>
              <w:rPr>
                <w:sz w:val="18"/>
                <w:szCs w:val="18"/>
                <w:lang w:val="en-US"/>
              </w:rPr>
              <w:t>Progressive Laboratories</w:t>
            </w:r>
          </w:p>
        </w:tc>
        <w:tc>
          <w:tcPr>
            <w:tcW w:w="1559" w:type="dxa"/>
          </w:tcPr>
          <w:p w14:paraId="7CB509F4" w14:textId="77777777" w:rsidR="009066FB" w:rsidRDefault="009066FB" w:rsidP="00FF705B">
            <w:pPr>
              <w:spacing w:line="480" w:lineRule="auto"/>
              <w:rPr>
                <w:sz w:val="18"/>
                <w:szCs w:val="18"/>
                <w:lang w:val="en-US"/>
              </w:rPr>
            </w:pPr>
            <w:r>
              <w:rPr>
                <w:sz w:val="18"/>
                <w:szCs w:val="18"/>
                <w:lang w:val="en-US"/>
              </w:rPr>
              <w:t>400</w:t>
            </w:r>
          </w:p>
        </w:tc>
        <w:tc>
          <w:tcPr>
            <w:tcW w:w="2126" w:type="dxa"/>
          </w:tcPr>
          <w:p w14:paraId="484BD638" w14:textId="77777777" w:rsidR="009066FB" w:rsidRDefault="009066FB" w:rsidP="00FF705B">
            <w:pPr>
              <w:spacing w:line="480" w:lineRule="auto"/>
              <w:rPr>
                <w:sz w:val="18"/>
                <w:szCs w:val="18"/>
                <w:lang w:val="en-US"/>
              </w:rPr>
            </w:pPr>
            <w:r>
              <w:rPr>
                <w:sz w:val="18"/>
                <w:szCs w:val="18"/>
                <w:lang w:val="en-US"/>
              </w:rPr>
              <w:t>Oral, once daily</w:t>
            </w:r>
          </w:p>
        </w:tc>
        <w:tc>
          <w:tcPr>
            <w:tcW w:w="3543" w:type="dxa"/>
          </w:tcPr>
          <w:p w14:paraId="2065F07F" w14:textId="77777777" w:rsidR="009066FB" w:rsidRDefault="009066FB" w:rsidP="00FF705B">
            <w:pPr>
              <w:spacing w:line="480" w:lineRule="auto"/>
              <w:rPr>
                <w:sz w:val="18"/>
                <w:szCs w:val="18"/>
                <w:lang w:val="en-US"/>
              </w:rPr>
            </w:pPr>
            <w:r>
              <w:rPr>
                <w:sz w:val="18"/>
                <w:szCs w:val="18"/>
                <w:lang w:val="en-US"/>
              </w:rPr>
              <w:t>400 (1)</w:t>
            </w:r>
          </w:p>
        </w:tc>
      </w:tr>
      <w:tr w:rsidR="009066FB" w14:paraId="572C2710" w14:textId="77777777" w:rsidTr="00FF705B">
        <w:tc>
          <w:tcPr>
            <w:tcW w:w="2122" w:type="dxa"/>
          </w:tcPr>
          <w:p w14:paraId="703EB9D5" w14:textId="77777777" w:rsidR="009066FB" w:rsidRDefault="009066FB" w:rsidP="00FF705B">
            <w:pPr>
              <w:spacing w:line="480" w:lineRule="auto"/>
              <w:rPr>
                <w:sz w:val="18"/>
                <w:szCs w:val="18"/>
                <w:lang w:val="en-US"/>
              </w:rPr>
            </w:pPr>
            <w:r>
              <w:rPr>
                <w:sz w:val="18"/>
                <w:szCs w:val="18"/>
                <w:lang w:val="en-US"/>
              </w:rPr>
              <w:t>Protocol for Life Balance</w:t>
            </w:r>
          </w:p>
        </w:tc>
        <w:tc>
          <w:tcPr>
            <w:tcW w:w="1559" w:type="dxa"/>
          </w:tcPr>
          <w:p w14:paraId="316C00E4" w14:textId="77777777" w:rsidR="009066FB" w:rsidRDefault="009066FB" w:rsidP="00FF705B">
            <w:pPr>
              <w:spacing w:line="480" w:lineRule="auto"/>
              <w:rPr>
                <w:sz w:val="18"/>
                <w:szCs w:val="18"/>
                <w:lang w:val="en-US"/>
              </w:rPr>
            </w:pPr>
            <w:r>
              <w:rPr>
                <w:sz w:val="18"/>
                <w:szCs w:val="18"/>
                <w:lang w:val="en-US"/>
              </w:rPr>
              <w:t>200</w:t>
            </w:r>
          </w:p>
        </w:tc>
        <w:tc>
          <w:tcPr>
            <w:tcW w:w="2126" w:type="dxa"/>
          </w:tcPr>
          <w:p w14:paraId="176AF396" w14:textId="77777777" w:rsidR="009066FB" w:rsidRDefault="009066FB" w:rsidP="00FF705B">
            <w:pPr>
              <w:spacing w:line="480" w:lineRule="auto"/>
              <w:rPr>
                <w:sz w:val="18"/>
                <w:szCs w:val="18"/>
                <w:lang w:val="en-US"/>
              </w:rPr>
            </w:pPr>
            <w:r>
              <w:rPr>
                <w:sz w:val="18"/>
                <w:szCs w:val="18"/>
                <w:lang w:val="en-US"/>
              </w:rPr>
              <w:t>Oral, 2-4 times daily</w:t>
            </w:r>
          </w:p>
        </w:tc>
        <w:tc>
          <w:tcPr>
            <w:tcW w:w="3543" w:type="dxa"/>
          </w:tcPr>
          <w:p w14:paraId="7D0F8347" w14:textId="77777777" w:rsidR="009066FB" w:rsidRDefault="009066FB" w:rsidP="00FF705B">
            <w:pPr>
              <w:spacing w:line="480" w:lineRule="auto"/>
              <w:rPr>
                <w:sz w:val="18"/>
                <w:szCs w:val="18"/>
                <w:lang w:val="en-US"/>
              </w:rPr>
            </w:pPr>
            <w:r>
              <w:rPr>
                <w:sz w:val="18"/>
                <w:szCs w:val="18"/>
                <w:lang w:val="en-US"/>
              </w:rPr>
              <w:t>400-1600 (2-4)</w:t>
            </w:r>
          </w:p>
        </w:tc>
      </w:tr>
      <w:tr w:rsidR="009066FB" w14:paraId="31532956" w14:textId="77777777" w:rsidTr="00FF705B">
        <w:tc>
          <w:tcPr>
            <w:tcW w:w="2122" w:type="dxa"/>
          </w:tcPr>
          <w:p w14:paraId="53E37CC9" w14:textId="77777777" w:rsidR="009066FB" w:rsidRDefault="009066FB" w:rsidP="00FF705B">
            <w:pPr>
              <w:spacing w:line="480" w:lineRule="auto"/>
              <w:rPr>
                <w:sz w:val="18"/>
                <w:szCs w:val="18"/>
                <w:lang w:val="en-US"/>
              </w:rPr>
            </w:pPr>
            <w:r>
              <w:rPr>
                <w:sz w:val="18"/>
                <w:szCs w:val="18"/>
                <w:lang w:val="en-US"/>
              </w:rPr>
              <w:lastRenderedPageBreak/>
              <w:t>Protocol for Life Balance</w:t>
            </w:r>
          </w:p>
        </w:tc>
        <w:tc>
          <w:tcPr>
            <w:tcW w:w="1559" w:type="dxa"/>
          </w:tcPr>
          <w:p w14:paraId="5936FB0B" w14:textId="77777777" w:rsidR="009066FB" w:rsidRDefault="009066FB" w:rsidP="00FF705B">
            <w:pPr>
              <w:spacing w:line="480" w:lineRule="auto"/>
              <w:rPr>
                <w:sz w:val="18"/>
                <w:szCs w:val="18"/>
                <w:lang w:val="en-US"/>
              </w:rPr>
            </w:pPr>
            <w:r>
              <w:rPr>
                <w:sz w:val="18"/>
                <w:szCs w:val="18"/>
                <w:lang w:val="en-US"/>
              </w:rPr>
              <w:t>400</w:t>
            </w:r>
          </w:p>
        </w:tc>
        <w:tc>
          <w:tcPr>
            <w:tcW w:w="2126" w:type="dxa"/>
          </w:tcPr>
          <w:p w14:paraId="2D49AE89" w14:textId="77777777" w:rsidR="009066FB" w:rsidRDefault="009066FB" w:rsidP="00FF705B">
            <w:pPr>
              <w:spacing w:line="480" w:lineRule="auto"/>
              <w:rPr>
                <w:sz w:val="18"/>
                <w:szCs w:val="18"/>
                <w:lang w:val="en-US"/>
              </w:rPr>
            </w:pPr>
            <w:r>
              <w:rPr>
                <w:sz w:val="18"/>
                <w:szCs w:val="18"/>
                <w:lang w:val="en-US"/>
              </w:rPr>
              <w:t>Oral, 2-3 times daily</w:t>
            </w:r>
          </w:p>
        </w:tc>
        <w:tc>
          <w:tcPr>
            <w:tcW w:w="3543" w:type="dxa"/>
          </w:tcPr>
          <w:p w14:paraId="7EB999EE" w14:textId="77777777" w:rsidR="009066FB" w:rsidRDefault="009066FB" w:rsidP="00FF705B">
            <w:pPr>
              <w:spacing w:line="480" w:lineRule="auto"/>
              <w:rPr>
                <w:sz w:val="18"/>
                <w:szCs w:val="18"/>
                <w:lang w:val="en-US"/>
              </w:rPr>
            </w:pPr>
            <w:r>
              <w:rPr>
                <w:sz w:val="18"/>
                <w:szCs w:val="18"/>
                <w:lang w:val="en-US"/>
              </w:rPr>
              <w:t>800-1200 (2-3)</w:t>
            </w:r>
          </w:p>
        </w:tc>
      </w:tr>
    </w:tbl>
    <w:p w14:paraId="5E65950B" w14:textId="77777777" w:rsidR="009066FB" w:rsidRPr="00147527" w:rsidRDefault="009066FB" w:rsidP="00BD4624">
      <w:pPr>
        <w:spacing w:line="480" w:lineRule="auto"/>
        <w:ind w:left="720"/>
        <w:rPr>
          <w:i/>
          <w:iCs/>
          <w:sz w:val="18"/>
          <w:szCs w:val="18"/>
          <w:lang w:val="en-US"/>
        </w:rPr>
      </w:pPr>
      <w:r w:rsidRPr="00054685">
        <w:rPr>
          <w:sz w:val="18"/>
          <w:szCs w:val="18"/>
          <w:lang w:val="en-US"/>
        </w:rPr>
        <w:t>*This data set was generated by including all pure SAMe products available for sale on 3 large international supplement distributor websites: megavitamins.com, iHerb.com, supplementfirst.com.</w:t>
      </w:r>
    </w:p>
    <w:p w14:paraId="7A13A7CD" w14:textId="77777777" w:rsidR="009066FB" w:rsidRDefault="009066FB" w:rsidP="00BD4624">
      <w:pPr>
        <w:spacing w:line="480" w:lineRule="auto"/>
        <w:ind w:firstLine="720"/>
        <w:rPr>
          <w:sz w:val="18"/>
          <w:szCs w:val="18"/>
          <w:lang w:val="en-US"/>
        </w:rPr>
      </w:pPr>
    </w:p>
    <w:p w14:paraId="5F195763" w14:textId="77777777" w:rsidR="009066FB" w:rsidRDefault="009066FB" w:rsidP="00BD4624">
      <w:pPr>
        <w:spacing w:line="480" w:lineRule="auto"/>
        <w:ind w:firstLine="720"/>
        <w:jc w:val="center"/>
        <w:rPr>
          <w:sz w:val="18"/>
          <w:szCs w:val="18"/>
          <w:lang w:val="en-US"/>
        </w:rPr>
      </w:pPr>
      <w:r>
        <w:rPr>
          <w:sz w:val="18"/>
          <w:szCs w:val="18"/>
          <w:lang w:val="en-US"/>
        </w:rPr>
        <w:t>Supplementary Table 2</w:t>
      </w:r>
    </w:p>
    <w:p w14:paraId="6A3A4ACD" w14:textId="77777777" w:rsidR="009066FB" w:rsidRDefault="009066FB" w:rsidP="00BD4624">
      <w:pPr>
        <w:spacing w:line="480" w:lineRule="auto"/>
        <w:ind w:firstLine="720"/>
        <w:jc w:val="center"/>
        <w:rPr>
          <w:sz w:val="18"/>
          <w:szCs w:val="18"/>
          <w:lang w:val="en-US"/>
        </w:rPr>
      </w:pPr>
      <w:r>
        <w:rPr>
          <w:sz w:val="18"/>
          <w:szCs w:val="18"/>
          <w:lang w:val="en-US"/>
        </w:rPr>
        <w:t xml:space="preserve">COVID-19 impact. In response to the COVID-19 pandemic, contingency plans were developed to mitigate the </w:t>
      </w:r>
      <w:r w:rsidRPr="00ED1BD7">
        <w:rPr>
          <w:sz w:val="18"/>
          <w:szCs w:val="18"/>
          <w:lang w:val="en-US"/>
        </w:rPr>
        <w:t xml:space="preserve">potential impact of COVID-19 on the safety of participants and investigators, and on trial outcomes. </w:t>
      </w:r>
      <w:r>
        <w:rPr>
          <w:sz w:val="18"/>
          <w:szCs w:val="18"/>
          <w:lang w:val="en-US"/>
        </w:rPr>
        <w:t xml:space="preserve">Supplementary Table 2 </w:t>
      </w:r>
      <w:r w:rsidRPr="00ED1BD7">
        <w:rPr>
          <w:sz w:val="18"/>
          <w:szCs w:val="18"/>
          <w:lang w:val="en-US"/>
        </w:rPr>
        <w:t>details these considerations.</w:t>
      </w:r>
    </w:p>
    <w:p w14:paraId="59549282" w14:textId="77777777" w:rsidR="009066FB" w:rsidRDefault="009066FB" w:rsidP="00BD4624">
      <w:pPr>
        <w:spacing w:line="480" w:lineRule="auto"/>
        <w:ind w:firstLine="720"/>
        <w:jc w:val="center"/>
        <w:rPr>
          <w:sz w:val="18"/>
          <w:szCs w:val="18"/>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3"/>
      </w:tblGrid>
      <w:tr w:rsidR="009066FB" w14:paraId="5EC442E0" w14:textId="77777777" w:rsidTr="00FF705B">
        <w:tc>
          <w:tcPr>
            <w:tcW w:w="2127" w:type="dxa"/>
            <w:tcBorders>
              <w:top w:val="single" w:sz="4" w:space="0" w:color="auto"/>
              <w:bottom w:val="single" w:sz="4" w:space="0" w:color="auto"/>
            </w:tcBorders>
          </w:tcPr>
          <w:p w14:paraId="1C855E9E" w14:textId="77777777" w:rsidR="009066FB" w:rsidRDefault="009066FB" w:rsidP="00FF705B">
            <w:pPr>
              <w:spacing w:line="480" w:lineRule="auto"/>
              <w:rPr>
                <w:sz w:val="18"/>
                <w:szCs w:val="18"/>
                <w:lang w:val="en-US"/>
              </w:rPr>
            </w:pPr>
            <w:r>
              <w:rPr>
                <w:sz w:val="18"/>
                <w:szCs w:val="18"/>
                <w:lang w:val="en-US"/>
              </w:rPr>
              <w:t>COVID-19-related factor</w:t>
            </w:r>
          </w:p>
        </w:tc>
        <w:tc>
          <w:tcPr>
            <w:tcW w:w="7223" w:type="dxa"/>
            <w:tcBorders>
              <w:top w:val="single" w:sz="4" w:space="0" w:color="auto"/>
              <w:bottom w:val="single" w:sz="4" w:space="0" w:color="auto"/>
            </w:tcBorders>
          </w:tcPr>
          <w:p w14:paraId="438BA1A0" w14:textId="77777777" w:rsidR="009066FB" w:rsidRDefault="009066FB" w:rsidP="00FF705B">
            <w:pPr>
              <w:spacing w:line="480" w:lineRule="auto"/>
              <w:rPr>
                <w:sz w:val="18"/>
                <w:szCs w:val="18"/>
                <w:lang w:val="en-US"/>
              </w:rPr>
            </w:pPr>
            <w:r>
              <w:rPr>
                <w:sz w:val="18"/>
                <w:szCs w:val="18"/>
                <w:lang w:val="en-US"/>
              </w:rPr>
              <w:t>SAMe Study impact and contingency plan</w:t>
            </w:r>
          </w:p>
        </w:tc>
      </w:tr>
      <w:tr w:rsidR="009066FB" w14:paraId="72CDE24D" w14:textId="77777777" w:rsidTr="00FF705B">
        <w:tc>
          <w:tcPr>
            <w:tcW w:w="2127" w:type="dxa"/>
            <w:tcBorders>
              <w:top w:val="single" w:sz="4" w:space="0" w:color="auto"/>
            </w:tcBorders>
          </w:tcPr>
          <w:p w14:paraId="2A467DB8" w14:textId="77777777" w:rsidR="009066FB" w:rsidRDefault="009066FB" w:rsidP="00FF705B">
            <w:pPr>
              <w:spacing w:line="480" w:lineRule="auto"/>
              <w:ind w:left="170" w:hanging="170"/>
              <w:rPr>
                <w:sz w:val="18"/>
                <w:szCs w:val="18"/>
                <w:lang w:val="en-US"/>
              </w:rPr>
            </w:pPr>
            <w:r>
              <w:rPr>
                <w:sz w:val="18"/>
                <w:szCs w:val="18"/>
                <w:lang w:val="en-US"/>
              </w:rPr>
              <w:t>COVID-19 testing</w:t>
            </w:r>
          </w:p>
        </w:tc>
        <w:tc>
          <w:tcPr>
            <w:tcW w:w="7223" w:type="dxa"/>
            <w:tcBorders>
              <w:top w:val="single" w:sz="4" w:space="0" w:color="auto"/>
            </w:tcBorders>
          </w:tcPr>
          <w:p w14:paraId="6D51B65C" w14:textId="77777777" w:rsidR="009066FB" w:rsidRDefault="009066FB" w:rsidP="00FF705B">
            <w:pPr>
              <w:spacing w:line="480" w:lineRule="auto"/>
              <w:ind w:left="170" w:hanging="170"/>
              <w:rPr>
                <w:sz w:val="18"/>
                <w:szCs w:val="18"/>
                <w:lang w:val="en-US"/>
              </w:rPr>
            </w:pPr>
            <w:r w:rsidRPr="00ED1BD7">
              <w:rPr>
                <w:rFonts w:eastAsiaTheme="minorHAnsi"/>
                <w:sz w:val="18"/>
                <w:szCs w:val="18"/>
                <w:lang w:val="en-US"/>
              </w:rPr>
              <w:t xml:space="preserve">In line with government guidelines, participants or potential participants who undergo COVID-19 testing are required to isolate while awaiting a result. Baseline visits will be postponed in these participants until a negative test can be confirmed. Study activities have been revised to ensure </w:t>
            </w:r>
            <w:r w:rsidRPr="00ED1BD7">
              <w:rPr>
                <w:sz w:val="18"/>
                <w:szCs w:val="18"/>
                <w:lang w:val="en-US"/>
              </w:rPr>
              <w:t>most of</w:t>
            </w:r>
            <w:r w:rsidRPr="00ED1BD7">
              <w:rPr>
                <w:rFonts w:eastAsiaTheme="minorHAnsi"/>
                <w:sz w:val="18"/>
                <w:szCs w:val="18"/>
                <w:lang w:val="en-US"/>
              </w:rPr>
              <w:t xml:space="preserve"> the study can be conducted remotely via telehealth. Study activities which require face-to-face assessment (either on-site or in the participant's home) will be performed within the relevant allowable period (which is generally longer than testing turnaround times).</w:t>
            </w:r>
          </w:p>
        </w:tc>
      </w:tr>
      <w:tr w:rsidR="009066FB" w14:paraId="6FE06332" w14:textId="77777777" w:rsidTr="00FF705B">
        <w:tc>
          <w:tcPr>
            <w:tcW w:w="2127" w:type="dxa"/>
          </w:tcPr>
          <w:p w14:paraId="5F6F9FFA" w14:textId="77777777" w:rsidR="009066FB" w:rsidRDefault="009066FB" w:rsidP="00FF705B">
            <w:pPr>
              <w:spacing w:line="480" w:lineRule="auto"/>
              <w:ind w:left="170" w:hanging="170"/>
              <w:rPr>
                <w:sz w:val="18"/>
                <w:szCs w:val="18"/>
                <w:lang w:val="en-US"/>
              </w:rPr>
            </w:pPr>
            <w:r>
              <w:rPr>
                <w:sz w:val="18"/>
                <w:szCs w:val="18"/>
                <w:lang w:val="en-US"/>
              </w:rPr>
              <w:t>COVID-19 infection</w:t>
            </w:r>
          </w:p>
        </w:tc>
        <w:tc>
          <w:tcPr>
            <w:tcW w:w="7223" w:type="dxa"/>
          </w:tcPr>
          <w:p w14:paraId="58592B56" w14:textId="77777777" w:rsidR="009066FB" w:rsidRDefault="009066FB" w:rsidP="00FF705B">
            <w:pPr>
              <w:spacing w:line="480" w:lineRule="auto"/>
              <w:ind w:left="170" w:hanging="170"/>
              <w:rPr>
                <w:sz w:val="18"/>
                <w:szCs w:val="18"/>
                <w:lang w:val="en-US"/>
              </w:rPr>
            </w:pPr>
            <w:r w:rsidRPr="00ED1BD7">
              <w:rPr>
                <w:rFonts w:eastAsiaTheme="minorHAnsi"/>
                <w:sz w:val="18"/>
                <w:szCs w:val="18"/>
                <w:lang w:val="en-US"/>
              </w:rPr>
              <w:t>There has been some early evidence that COVID-19 infection has some effects on the central nervous system, with some studies suggesting a specific effect on tau homeostasis, and particularly an increase in tau phosphorylation</w:t>
            </w:r>
            <w:r>
              <w:rPr>
                <w:rFonts w:eastAsiaTheme="minorHAnsi"/>
                <w:sz w:val="18"/>
                <w:szCs w:val="18"/>
                <w:lang w:val="en-US"/>
              </w:rPr>
              <w:t xml:space="preserve"> </w:t>
            </w:r>
            <w:r>
              <w:rPr>
                <w:rFonts w:eastAsiaTheme="minorHAnsi"/>
                <w:noProof/>
                <w:sz w:val="18"/>
                <w:szCs w:val="18"/>
                <w:lang w:val="en-US"/>
              </w:rPr>
              <w:t>[1]</w:t>
            </w:r>
            <w:r>
              <w:rPr>
                <w:rFonts w:eastAsiaTheme="minorHAnsi"/>
                <w:sz w:val="18"/>
                <w:szCs w:val="18"/>
                <w:lang w:val="en-US"/>
              </w:rPr>
              <w:t>.</w:t>
            </w:r>
            <w:r w:rsidRPr="00ED1BD7">
              <w:rPr>
                <w:rFonts w:eastAsiaTheme="minorHAnsi"/>
                <w:sz w:val="18"/>
                <w:szCs w:val="18"/>
                <w:lang w:val="en-US"/>
              </w:rPr>
              <w:t xml:space="preserve"> However, there is yet to be a demonstration that COVID-19 infection increases levels of circulating pTau181, and based on this, participants with confirmed COVID-19 will be eligible for recruitment and continuation in the study (once they have recovered). Participants who miss the primary estimand time window due to COVID-19 infection (or other intercurrent events) will be excluded from the primary analysis using a principal stratum approach. In addition, a sensitivity analysis for the primary estimand will be performed excluding participants with confirmed COVID-19 at any point before or during the study. </w:t>
            </w:r>
          </w:p>
        </w:tc>
      </w:tr>
      <w:tr w:rsidR="009066FB" w14:paraId="68231324" w14:textId="77777777" w:rsidTr="00FF705B">
        <w:tc>
          <w:tcPr>
            <w:tcW w:w="2127" w:type="dxa"/>
          </w:tcPr>
          <w:p w14:paraId="0E4A7705" w14:textId="77777777" w:rsidR="009066FB" w:rsidRDefault="009066FB" w:rsidP="00FF705B">
            <w:pPr>
              <w:spacing w:line="480" w:lineRule="auto"/>
              <w:ind w:left="170" w:hanging="170"/>
              <w:rPr>
                <w:sz w:val="18"/>
                <w:szCs w:val="18"/>
                <w:lang w:val="en-US"/>
              </w:rPr>
            </w:pPr>
            <w:r>
              <w:rPr>
                <w:sz w:val="18"/>
                <w:szCs w:val="18"/>
                <w:lang w:val="en-US"/>
              </w:rPr>
              <w:t>Quarantine and travel limitations</w:t>
            </w:r>
          </w:p>
        </w:tc>
        <w:tc>
          <w:tcPr>
            <w:tcW w:w="7223" w:type="dxa"/>
          </w:tcPr>
          <w:p w14:paraId="59C4A60C" w14:textId="77777777" w:rsidR="009066FB" w:rsidRDefault="009066FB" w:rsidP="00FF705B">
            <w:pPr>
              <w:spacing w:line="480" w:lineRule="auto"/>
              <w:ind w:left="170" w:hanging="170"/>
              <w:rPr>
                <w:sz w:val="18"/>
                <w:szCs w:val="18"/>
                <w:lang w:val="en-US"/>
              </w:rPr>
            </w:pPr>
            <w:r>
              <w:rPr>
                <w:sz w:val="18"/>
                <w:szCs w:val="18"/>
                <w:lang w:val="en-US"/>
              </w:rPr>
              <w:t>T</w:t>
            </w:r>
            <w:r w:rsidRPr="00ED1BD7">
              <w:rPr>
                <w:rFonts w:eastAsiaTheme="minorHAnsi"/>
                <w:sz w:val="18"/>
                <w:szCs w:val="18"/>
                <w:lang w:val="en-US"/>
              </w:rPr>
              <w:t>he study has been designed to allow participation in all study assessments from the participants' home. This will involve either telehealth consultations and/or home visits by qualified study personnel who will comply with all current PPE requirements. This will minimize the potential of quarantine and travel limitations on study assessments.</w:t>
            </w:r>
          </w:p>
        </w:tc>
      </w:tr>
      <w:tr w:rsidR="009066FB" w14:paraId="29CA3C57" w14:textId="77777777" w:rsidTr="00FF705B">
        <w:tc>
          <w:tcPr>
            <w:tcW w:w="2127" w:type="dxa"/>
          </w:tcPr>
          <w:p w14:paraId="24A244CA" w14:textId="77777777" w:rsidR="009066FB" w:rsidRDefault="009066FB" w:rsidP="00FF705B">
            <w:pPr>
              <w:spacing w:line="480" w:lineRule="auto"/>
              <w:ind w:left="170" w:hanging="170"/>
              <w:rPr>
                <w:sz w:val="18"/>
                <w:szCs w:val="18"/>
                <w:lang w:val="en-US"/>
              </w:rPr>
            </w:pPr>
            <w:r>
              <w:rPr>
                <w:sz w:val="18"/>
                <w:szCs w:val="18"/>
                <w:lang w:val="en-US"/>
              </w:rPr>
              <w:lastRenderedPageBreak/>
              <w:t>Site closures</w:t>
            </w:r>
          </w:p>
        </w:tc>
        <w:tc>
          <w:tcPr>
            <w:tcW w:w="7223" w:type="dxa"/>
          </w:tcPr>
          <w:p w14:paraId="0035C4C4" w14:textId="77777777" w:rsidR="009066FB" w:rsidRPr="00ED1BD7" w:rsidRDefault="009066FB" w:rsidP="00FF705B">
            <w:pPr>
              <w:spacing w:line="480" w:lineRule="auto"/>
              <w:ind w:left="170" w:hanging="170"/>
              <w:rPr>
                <w:rFonts w:eastAsiaTheme="minorHAnsi"/>
                <w:sz w:val="18"/>
                <w:szCs w:val="18"/>
                <w:lang w:val="en-US"/>
              </w:rPr>
            </w:pPr>
            <w:r w:rsidRPr="00ED1BD7">
              <w:rPr>
                <w:rFonts w:eastAsiaTheme="minorHAnsi"/>
                <w:sz w:val="18"/>
                <w:szCs w:val="18"/>
                <w:lang w:val="en-US"/>
              </w:rPr>
              <w:t>Loss to follow-up due to site closure is expected to be minimal given that site selection and initiation occurred once the pandemic was already underway, and the COVID-19 contingency plan was discussed with all potential sites. In the unlikely event of site closure, the primary site (WEHI) will be able to collect the primary endpoint data to inform the primary estimand.</w:t>
            </w:r>
          </w:p>
        </w:tc>
      </w:tr>
      <w:tr w:rsidR="009066FB" w14:paraId="3FC356D7" w14:textId="77777777" w:rsidTr="00FF705B">
        <w:tc>
          <w:tcPr>
            <w:tcW w:w="2127" w:type="dxa"/>
          </w:tcPr>
          <w:p w14:paraId="4E79A4BB" w14:textId="77777777" w:rsidR="009066FB" w:rsidRPr="0060473F" w:rsidRDefault="009066FB" w:rsidP="00FF705B">
            <w:pPr>
              <w:spacing w:line="480" w:lineRule="auto"/>
              <w:ind w:left="170" w:hanging="170"/>
              <w:rPr>
                <w:sz w:val="18"/>
                <w:szCs w:val="18"/>
                <w:lang w:val="en-US"/>
              </w:rPr>
            </w:pPr>
            <w:r w:rsidRPr="0060473F">
              <w:rPr>
                <w:sz w:val="18"/>
                <w:szCs w:val="18"/>
                <w:lang w:val="en-US"/>
              </w:rPr>
              <w:t>Interruption to Supply Chain of Investigational Product or Participant’s Other Medications</w:t>
            </w:r>
          </w:p>
          <w:p w14:paraId="2BB17AF8" w14:textId="77777777" w:rsidR="009066FB" w:rsidRDefault="009066FB" w:rsidP="00FF705B">
            <w:pPr>
              <w:spacing w:line="480" w:lineRule="auto"/>
              <w:ind w:left="170" w:hanging="170"/>
              <w:rPr>
                <w:sz w:val="18"/>
                <w:szCs w:val="18"/>
                <w:lang w:val="en-US"/>
              </w:rPr>
            </w:pPr>
          </w:p>
        </w:tc>
        <w:tc>
          <w:tcPr>
            <w:tcW w:w="7223" w:type="dxa"/>
          </w:tcPr>
          <w:p w14:paraId="52C7382F" w14:textId="77777777" w:rsidR="009066FB" w:rsidRPr="00ED1BD7" w:rsidRDefault="009066FB" w:rsidP="00FF705B">
            <w:pPr>
              <w:spacing w:line="480" w:lineRule="auto"/>
              <w:ind w:left="170" w:hanging="170"/>
              <w:rPr>
                <w:rFonts w:eastAsiaTheme="minorHAnsi"/>
                <w:sz w:val="18"/>
                <w:szCs w:val="18"/>
                <w:lang w:val="en-US"/>
              </w:rPr>
            </w:pPr>
            <w:r w:rsidRPr="00ED1BD7">
              <w:rPr>
                <w:rFonts w:eastAsiaTheme="minorHAnsi"/>
                <w:sz w:val="18"/>
                <w:szCs w:val="18"/>
                <w:lang w:val="en-US"/>
              </w:rPr>
              <w:t xml:space="preserve">There may be some delays in IP kit production and transport to sites </w:t>
            </w:r>
            <w:r w:rsidRPr="00ED1BD7">
              <w:rPr>
                <w:sz w:val="18"/>
                <w:szCs w:val="18"/>
                <w:lang w:val="en-US"/>
              </w:rPr>
              <w:t>because of</w:t>
            </w:r>
            <w:r w:rsidRPr="00ED1BD7">
              <w:rPr>
                <w:rFonts w:eastAsiaTheme="minorHAnsi"/>
                <w:sz w:val="18"/>
                <w:szCs w:val="18"/>
                <w:lang w:val="en-US"/>
              </w:rPr>
              <w:t xml:space="preserve"> COVID-19 restrictions. In the event of delays or interruptions to the IP supply chain, sites will be instructed to randomize participants only if there is sufficient IP available at the given site. Recruitment will be suspended if IP supplies are exhausted at a site until IP has been resupplied.  Regarding concurrent medications, participants are required to be on a stable dose of symptomatic AD medications (</w:t>
            </w:r>
            <w:proofErr w:type="gramStart"/>
            <w:r w:rsidRPr="00ED1BD7">
              <w:rPr>
                <w:rFonts w:eastAsiaTheme="minorHAnsi"/>
                <w:sz w:val="18"/>
                <w:szCs w:val="18"/>
                <w:lang w:val="en-US"/>
              </w:rPr>
              <w:t>e.g.</w:t>
            </w:r>
            <w:proofErr w:type="gramEnd"/>
            <w:r w:rsidRPr="00ED1BD7">
              <w:rPr>
                <w:rFonts w:eastAsiaTheme="minorHAnsi"/>
                <w:sz w:val="18"/>
                <w:szCs w:val="18"/>
                <w:lang w:val="en-US"/>
              </w:rPr>
              <w:t xml:space="preserve"> donepezil) for 8 weeks prior to randomization, and for the duration of the study. This requirement will be maintained. The secondary (cognitive endpoint) will be analyzed only within the subgroup of participants where there has been no change in symptomatic medication (due to availability or intercurrent events) throughout the study period, or where no other intercurrent event adjudicated as potentially affecting cognition has occurred</w:t>
            </w:r>
          </w:p>
        </w:tc>
      </w:tr>
      <w:tr w:rsidR="009066FB" w14:paraId="33DE4569" w14:textId="77777777" w:rsidTr="00FF705B">
        <w:tc>
          <w:tcPr>
            <w:tcW w:w="2127" w:type="dxa"/>
          </w:tcPr>
          <w:p w14:paraId="43E741EF" w14:textId="77777777" w:rsidR="009066FB" w:rsidRPr="0060473F" w:rsidRDefault="009066FB" w:rsidP="00FF705B">
            <w:pPr>
              <w:spacing w:line="480" w:lineRule="auto"/>
              <w:ind w:left="170" w:hanging="170"/>
              <w:rPr>
                <w:sz w:val="18"/>
                <w:szCs w:val="18"/>
                <w:lang w:val="en-US"/>
              </w:rPr>
            </w:pPr>
            <w:r w:rsidRPr="0060473F">
              <w:rPr>
                <w:sz w:val="18"/>
                <w:szCs w:val="18"/>
                <w:lang w:val="en-US"/>
              </w:rPr>
              <w:t>Stopped Enrolment</w:t>
            </w:r>
          </w:p>
          <w:p w14:paraId="19D940C6" w14:textId="77777777" w:rsidR="009066FB" w:rsidRPr="0060473F" w:rsidRDefault="009066FB" w:rsidP="00FF705B">
            <w:pPr>
              <w:spacing w:line="480" w:lineRule="auto"/>
              <w:ind w:left="170" w:hanging="170"/>
              <w:rPr>
                <w:sz w:val="18"/>
                <w:szCs w:val="18"/>
                <w:lang w:val="en-US"/>
              </w:rPr>
            </w:pPr>
          </w:p>
        </w:tc>
        <w:tc>
          <w:tcPr>
            <w:tcW w:w="7223" w:type="dxa"/>
          </w:tcPr>
          <w:p w14:paraId="3E96A254" w14:textId="77777777" w:rsidR="009066FB" w:rsidRPr="00ED1BD7" w:rsidRDefault="009066FB" w:rsidP="00FF705B">
            <w:pPr>
              <w:spacing w:line="480" w:lineRule="auto"/>
              <w:ind w:left="170" w:hanging="170"/>
              <w:rPr>
                <w:rFonts w:eastAsiaTheme="minorHAnsi"/>
                <w:sz w:val="18"/>
                <w:szCs w:val="18"/>
                <w:lang w:val="en-US"/>
              </w:rPr>
            </w:pPr>
            <w:r w:rsidRPr="00ED1BD7">
              <w:rPr>
                <w:rFonts w:eastAsiaTheme="minorHAnsi"/>
                <w:sz w:val="18"/>
                <w:szCs w:val="18"/>
                <w:lang w:val="en-US"/>
              </w:rPr>
              <w:t xml:space="preserve">COVID-19 infection surges and restrictions may lead to temporary site-specific recruitment reductions, delays, suspension, and potentially termination of recruitment at specific sites. The study is being conducted at several sites, with the main site being a research institute (not a health care facility). The risk of termination of recruitment across the entire trial due to COVID-19 is low. The need for unplanned interim analysis for futility due to COVID-19 is expected to be unlikely. </w:t>
            </w:r>
          </w:p>
        </w:tc>
      </w:tr>
      <w:tr w:rsidR="009066FB" w14:paraId="0987A931" w14:textId="77777777" w:rsidTr="00FF705B">
        <w:tc>
          <w:tcPr>
            <w:tcW w:w="2127" w:type="dxa"/>
          </w:tcPr>
          <w:p w14:paraId="71199F43" w14:textId="77777777" w:rsidR="009066FB" w:rsidRPr="0060473F" w:rsidRDefault="009066FB" w:rsidP="00FF705B">
            <w:pPr>
              <w:spacing w:line="480" w:lineRule="auto"/>
              <w:ind w:left="170" w:hanging="170"/>
              <w:rPr>
                <w:sz w:val="18"/>
                <w:szCs w:val="18"/>
                <w:lang w:val="en-US"/>
              </w:rPr>
            </w:pPr>
            <w:r w:rsidRPr="0060473F">
              <w:rPr>
                <w:sz w:val="18"/>
                <w:szCs w:val="18"/>
                <w:lang w:val="en-US"/>
              </w:rPr>
              <w:t>Delayed Assessments</w:t>
            </w:r>
          </w:p>
          <w:p w14:paraId="7EFFD089" w14:textId="77777777" w:rsidR="009066FB" w:rsidRPr="0060473F" w:rsidRDefault="009066FB" w:rsidP="00FF705B">
            <w:pPr>
              <w:spacing w:line="480" w:lineRule="auto"/>
              <w:ind w:left="170" w:hanging="170"/>
              <w:rPr>
                <w:sz w:val="18"/>
                <w:szCs w:val="18"/>
                <w:lang w:val="en-US"/>
              </w:rPr>
            </w:pPr>
          </w:p>
          <w:p w14:paraId="36F01A12" w14:textId="77777777" w:rsidR="009066FB" w:rsidRPr="0060473F" w:rsidRDefault="009066FB" w:rsidP="00FF705B">
            <w:pPr>
              <w:spacing w:line="480" w:lineRule="auto"/>
              <w:ind w:left="170" w:hanging="170"/>
              <w:rPr>
                <w:sz w:val="18"/>
                <w:szCs w:val="18"/>
                <w:lang w:val="en-US"/>
              </w:rPr>
            </w:pPr>
          </w:p>
        </w:tc>
        <w:tc>
          <w:tcPr>
            <w:tcW w:w="7223" w:type="dxa"/>
          </w:tcPr>
          <w:p w14:paraId="3424F995" w14:textId="77777777" w:rsidR="009066FB" w:rsidRPr="00ED1BD7" w:rsidRDefault="009066FB" w:rsidP="00FF705B">
            <w:pPr>
              <w:spacing w:line="480" w:lineRule="auto"/>
              <w:ind w:left="170" w:hanging="170"/>
              <w:rPr>
                <w:rFonts w:eastAsiaTheme="minorHAnsi"/>
                <w:sz w:val="18"/>
                <w:szCs w:val="18"/>
                <w:lang w:val="en-US"/>
              </w:rPr>
            </w:pPr>
            <w:r w:rsidRPr="00ED1BD7">
              <w:rPr>
                <w:rFonts w:eastAsiaTheme="minorHAnsi"/>
                <w:sz w:val="18"/>
                <w:szCs w:val="18"/>
                <w:lang w:val="en-US"/>
              </w:rPr>
              <w:t xml:space="preserve">There is a risk of inability to conduct some study assessments during the allowable study visit time frame due to COVID-19 testing or confirmed infection as well as due to other COVID-19 related intercurrent events. For the primary estimand, the analysis will be conducted only in participants in whom the primary endpoint is collected within the allowable range of days and who have taken ≥80% of the study medication. A similar approach will be used for the epigenetic change secondary estimand. For the cognitive secondary estimand, missing data due to COVID-19 related intercurrent events will be treated as missing at random subject to the satisfiability of the relevant assumption. </w:t>
            </w:r>
            <w:r w:rsidRPr="00ED1BD7">
              <w:rPr>
                <w:sz w:val="18"/>
                <w:szCs w:val="18"/>
                <w:lang w:val="en-US"/>
              </w:rPr>
              <w:t>Auxiliary</w:t>
            </w:r>
            <w:r w:rsidRPr="00ED1BD7">
              <w:rPr>
                <w:rFonts w:eastAsiaTheme="minorHAnsi"/>
                <w:sz w:val="18"/>
                <w:szCs w:val="18"/>
                <w:lang w:val="en-US"/>
              </w:rPr>
              <w:t xml:space="preserve"> variables that may potentially contribute to verifying this assumption will be collected, particularly, age. This is expected to </w:t>
            </w:r>
            <w:r w:rsidRPr="00ED1BD7">
              <w:rPr>
                <w:rFonts w:eastAsiaTheme="minorHAnsi"/>
                <w:sz w:val="18"/>
                <w:szCs w:val="18"/>
                <w:lang w:val="en-US"/>
              </w:rPr>
              <w:lastRenderedPageBreak/>
              <w:t>be less likely given that the trial has been designed to allow telemedicine visits for the cognitive outcomes.</w:t>
            </w:r>
          </w:p>
        </w:tc>
      </w:tr>
      <w:tr w:rsidR="009066FB" w14:paraId="014B2B47" w14:textId="77777777" w:rsidTr="00FF705B">
        <w:tc>
          <w:tcPr>
            <w:tcW w:w="2127" w:type="dxa"/>
          </w:tcPr>
          <w:p w14:paraId="34726B08" w14:textId="77777777" w:rsidR="009066FB" w:rsidRPr="0060473F" w:rsidRDefault="009066FB" w:rsidP="00FF705B">
            <w:pPr>
              <w:spacing w:line="480" w:lineRule="auto"/>
              <w:ind w:left="170" w:hanging="170"/>
              <w:rPr>
                <w:sz w:val="18"/>
                <w:szCs w:val="18"/>
                <w:lang w:val="en-US"/>
              </w:rPr>
            </w:pPr>
            <w:r w:rsidRPr="0060473F">
              <w:rPr>
                <w:sz w:val="18"/>
                <w:szCs w:val="18"/>
                <w:lang w:val="en-US"/>
              </w:rPr>
              <w:lastRenderedPageBreak/>
              <w:t>Missed Visit Assessments</w:t>
            </w:r>
          </w:p>
        </w:tc>
        <w:tc>
          <w:tcPr>
            <w:tcW w:w="7223" w:type="dxa"/>
          </w:tcPr>
          <w:p w14:paraId="2480EE85" w14:textId="77777777" w:rsidR="009066FB" w:rsidRPr="00ED1BD7" w:rsidRDefault="009066FB" w:rsidP="00FF705B">
            <w:pPr>
              <w:spacing w:line="480" w:lineRule="auto"/>
              <w:ind w:left="170" w:hanging="170"/>
              <w:rPr>
                <w:rFonts w:eastAsiaTheme="minorHAnsi"/>
                <w:sz w:val="18"/>
                <w:szCs w:val="18"/>
                <w:lang w:val="en-US"/>
              </w:rPr>
            </w:pPr>
            <w:r w:rsidRPr="00ED1BD7">
              <w:rPr>
                <w:rFonts w:eastAsiaTheme="minorHAnsi"/>
                <w:sz w:val="18"/>
                <w:szCs w:val="18"/>
                <w:lang w:val="en-US"/>
              </w:rPr>
              <w:t>As above (see ‘delayed assessment’).</w:t>
            </w:r>
          </w:p>
        </w:tc>
      </w:tr>
      <w:tr w:rsidR="009066FB" w14:paraId="010DCAC1" w14:textId="77777777" w:rsidTr="00FF705B">
        <w:tc>
          <w:tcPr>
            <w:tcW w:w="2127" w:type="dxa"/>
          </w:tcPr>
          <w:p w14:paraId="3BC7F6CB" w14:textId="77777777" w:rsidR="009066FB" w:rsidRPr="0060473F" w:rsidRDefault="009066FB" w:rsidP="00FF705B">
            <w:pPr>
              <w:spacing w:line="480" w:lineRule="auto"/>
              <w:ind w:left="170" w:hanging="170"/>
              <w:rPr>
                <w:sz w:val="18"/>
                <w:szCs w:val="18"/>
                <w:lang w:val="en-US"/>
              </w:rPr>
            </w:pPr>
            <w:r w:rsidRPr="0060473F">
              <w:rPr>
                <w:sz w:val="18"/>
                <w:szCs w:val="18"/>
                <w:lang w:val="en-US"/>
              </w:rPr>
              <w:t>Stopped Drug due to Safety Concerns</w:t>
            </w:r>
          </w:p>
        </w:tc>
        <w:tc>
          <w:tcPr>
            <w:tcW w:w="7223" w:type="dxa"/>
          </w:tcPr>
          <w:p w14:paraId="0153A5D7" w14:textId="77777777" w:rsidR="009066FB" w:rsidRPr="00ED1BD7" w:rsidRDefault="009066FB" w:rsidP="00FF705B">
            <w:pPr>
              <w:spacing w:line="480" w:lineRule="auto"/>
              <w:ind w:left="170" w:hanging="170"/>
              <w:rPr>
                <w:rFonts w:eastAsiaTheme="minorHAnsi"/>
                <w:sz w:val="18"/>
                <w:szCs w:val="18"/>
                <w:lang w:val="en-US"/>
              </w:rPr>
            </w:pPr>
            <w:r w:rsidRPr="00ED1BD7">
              <w:rPr>
                <w:rFonts w:eastAsiaTheme="minorHAnsi"/>
                <w:sz w:val="18"/>
                <w:szCs w:val="18"/>
                <w:lang w:val="en-US"/>
              </w:rPr>
              <w:t>There are no known adverse effects of SAMe in the setting of COVID-19 infection. Therefore, we do not anticipate that study drug cessation due to COVID-19 infection will be common.</w:t>
            </w:r>
          </w:p>
        </w:tc>
      </w:tr>
      <w:tr w:rsidR="009066FB" w14:paraId="57C37F6A" w14:textId="77777777" w:rsidTr="00FF705B">
        <w:tc>
          <w:tcPr>
            <w:tcW w:w="2127" w:type="dxa"/>
          </w:tcPr>
          <w:p w14:paraId="0927F096" w14:textId="77777777" w:rsidR="009066FB" w:rsidRPr="0060473F" w:rsidRDefault="009066FB" w:rsidP="00FF705B">
            <w:pPr>
              <w:spacing w:line="480" w:lineRule="auto"/>
              <w:ind w:left="170" w:hanging="170"/>
              <w:rPr>
                <w:sz w:val="18"/>
                <w:szCs w:val="18"/>
                <w:lang w:val="en-US"/>
              </w:rPr>
            </w:pPr>
            <w:r w:rsidRPr="0060473F">
              <w:rPr>
                <w:sz w:val="18"/>
                <w:szCs w:val="18"/>
                <w:lang w:val="en-US"/>
              </w:rPr>
              <w:t>Discontinuing Participants due to Infection</w:t>
            </w:r>
          </w:p>
          <w:p w14:paraId="5C455862" w14:textId="77777777" w:rsidR="009066FB" w:rsidRPr="0060473F" w:rsidRDefault="009066FB" w:rsidP="00FF705B">
            <w:pPr>
              <w:spacing w:line="480" w:lineRule="auto"/>
              <w:ind w:left="170" w:hanging="170"/>
              <w:rPr>
                <w:sz w:val="18"/>
                <w:szCs w:val="18"/>
                <w:lang w:val="en-US"/>
              </w:rPr>
            </w:pPr>
          </w:p>
        </w:tc>
        <w:tc>
          <w:tcPr>
            <w:tcW w:w="7223" w:type="dxa"/>
          </w:tcPr>
          <w:p w14:paraId="6B5C8768" w14:textId="77777777" w:rsidR="009066FB" w:rsidRPr="00ED1BD7" w:rsidRDefault="009066FB" w:rsidP="00FF705B">
            <w:pPr>
              <w:spacing w:line="480" w:lineRule="auto"/>
              <w:ind w:left="170" w:hanging="170"/>
              <w:rPr>
                <w:rFonts w:eastAsiaTheme="minorHAnsi"/>
                <w:sz w:val="18"/>
                <w:szCs w:val="18"/>
                <w:lang w:val="en-US"/>
              </w:rPr>
            </w:pPr>
            <w:r w:rsidRPr="00ED1BD7">
              <w:rPr>
                <w:rFonts w:eastAsiaTheme="minorHAnsi"/>
                <w:sz w:val="18"/>
                <w:szCs w:val="18"/>
                <w:lang w:val="en-US"/>
              </w:rPr>
              <w:t>While COVID-19 presents a unique risk of AEs / SAEs due to the potential for increased incidence over the study period, we will include COVID-19 related deaths and SAEs in the safety estimands, as for any other intercurrent causes of SAEs/AEs. We will undertake sensitivity analysis where SAEs due to COVID-19 will be excluded from the analysis</w:t>
            </w:r>
          </w:p>
        </w:tc>
      </w:tr>
      <w:tr w:rsidR="009066FB" w14:paraId="0B324F94" w14:textId="77777777" w:rsidTr="00FF705B">
        <w:tc>
          <w:tcPr>
            <w:tcW w:w="2127" w:type="dxa"/>
          </w:tcPr>
          <w:p w14:paraId="01FBEF3C" w14:textId="77777777" w:rsidR="009066FB" w:rsidRPr="0060473F" w:rsidRDefault="009066FB" w:rsidP="00FF705B">
            <w:pPr>
              <w:spacing w:line="480" w:lineRule="auto"/>
              <w:ind w:left="170" w:hanging="170"/>
              <w:rPr>
                <w:sz w:val="18"/>
                <w:szCs w:val="18"/>
                <w:lang w:val="en-US"/>
              </w:rPr>
            </w:pPr>
            <w:r w:rsidRPr="00ED1BD7">
              <w:rPr>
                <w:sz w:val="18"/>
                <w:szCs w:val="18"/>
                <w:lang w:val="en-US"/>
              </w:rPr>
              <w:t>Alternative Collection of Specimens</w:t>
            </w:r>
          </w:p>
        </w:tc>
        <w:tc>
          <w:tcPr>
            <w:tcW w:w="7223" w:type="dxa"/>
          </w:tcPr>
          <w:p w14:paraId="39158F96" w14:textId="77777777" w:rsidR="009066FB" w:rsidRPr="00ED1BD7" w:rsidRDefault="009066FB" w:rsidP="00FF705B">
            <w:pPr>
              <w:spacing w:line="480" w:lineRule="auto"/>
              <w:ind w:left="170" w:hanging="170"/>
              <w:rPr>
                <w:rFonts w:eastAsiaTheme="minorHAnsi"/>
                <w:sz w:val="18"/>
                <w:szCs w:val="18"/>
                <w:lang w:val="en-US"/>
              </w:rPr>
            </w:pPr>
            <w:r>
              <w:rPr>
                <w:sz w:val="18"/>
                <w:szCs w:val="18"/>
                <w:lang w:val="en-US"/>
              </w:rPr>
              <w:t>T</w:t>
            </w:r>
            <w:r w:rsidRPr="00ED1BD7">
              <w:rPr>
                <w:rFonts w:eastAsiaTheme="minorHAnsi"/>
                <w:sz w:val="18"/>
                <w:szCs w:val="18"/>
                <w:lang w:val="en-US"/>
              </w:rPr>
              <w:t>elehealth and home-visit assessments will allow ongoing collection of data</w:t>
            </w:r>
            <w:r>
              <w:rPr>
                <w:sz w:val="18"/>
                <w:szCs w:val="18"/>
                <w:lang w:val="en-US"/>
              </w:rPr>
              <w:t>, both biological specimens and cognitive assessments,</w:t>
            </w:r>
            <w:r w:rsidRPr="00ED1BD7">
              <w:rPr>
                <w:rFonts w:eastAsiaTheme="minorHAnsi"/>
                <w:sz w:val="18"/>
                <w:szCs w:val="18"/>
                <w:lang w:val="en-US"/>
              </w:rPr>
              <w:t xml:space="preserve"> during the COVID-19 pandemic.</w:t>
            </w:r>
          </w:p>
        </w:tc>
      </w:tr>
      <w:tr w:rsidR="009066FB" w14:paraId="59D476EE" w14:textId="77777777" w:rsidTr="00FF705B">
        <w:tc>
          <w:tcPr>
            <w:tcW w:w="2127" w:type="dxa"/>
          </w:tcPr>
          <w:p w14:paraId="2423A254" w14:textId="77777777" w:rsidR="009066FB" w:rsidRPr="00ED1BD7" w:rsidRDefault="009066FB" w:rsidP="00FF705B">
            <w:pPr>
              <w:spacing w:line="480" w:lineRule="auto"/>
              <w:ind w:left="170" w:hanging="170"/>
              <w:rPr>
                <w:sz w:val="18"/>
                <w:szCs w:val="18"/>
                <w:lang w:val="en-US"/>
              </w:rPr>
            </w:pPr>
            <w:r w:rsidRPr="00ED1BD7">
              <w:rPr>
                <w:sz w:val="18"/>
                <w:szCs w:val="18"/>
                <w:lang w:val="en-US"/>
              </w:rPr>
              <w:t>Alternative Data Collection</w:t>
            </w:r>
          </w:p>
          <w:p w14:paraId="061747E3" w14:textId="77777777" w:rsidR="009066FB" w:rsidRPr="0060473F" w:rsidRDefault="009066FB" w:rsidP="00FF705B">
            <w:pPr>
              <w:spacing w:line="480" w:lineRule="auto"/>
              <w:ind w:left="170" w:hanging="170"/>
              <w:rPr>
                <w:sz w:val="18"/>
                <w:szCs w:val="18"/>
                <w:lang w:val="en-US"/>
              </w:rPr>
            </w:pPr>
          </w:p>
        </w:tc>
        <w:tc>
          <w:tcPr>
            <w:tcW w:w="7223" w:type="dxa"/>
          </w:tcPr>
          <w:p w14:paraId="462D7B00" w14:textId="77777777" w:rsidR="009066FB" w:rsidRPr="00ED1BD7" w:rsidRDefault="009066FB" w:rsidP="00FF705B">
            <w:pPr>
              <w:spacing w:line="480" w:lineRule="auto"/>
              <w:ind w:left="170" w:hanging="170"/>
              <w:rPr>
                <w:rFonts w:eastAsiaTheme="minorHAnsi"/>
                <w:sz w:val="18"/>
                <w:szCs w:val="18"/>
                <w:lang w:val="en-US"/>
              </w:rPr>
            </w:pPr>
            <w:r w:rsidRPr="00ED1BD7">
              <w:rPr>
                <w:rFonts w:eastAsiaTheme="minorHAnsi"/>
                <w:sz w:val="18"/>
                <w:szCs w:val="18"/>
                <w:lang w:val="en-US"/>
              </w:rPr>
              <w:t>As above (see ‘</w:t>
            </w:r>
            <w:r w:rsidRPr="00ED1BD7">
              <w:rPr>
                <w:sz w:val="18"/>
                <w:szCs w:val="18"/>
                <w:lang w:val="en-US"/>
              </w:rPr>
              <w:t>Alternative Collection of Specimens</w:t>
            </w:r>
            <w:r>
              <w:rPr>
                <w:sz w:val="18"/>
                <w:szCs w:val="18"/>
                <w:lang w:val="en-US"/>
              </w:rPr>
              <w:t>’</w:t>
            </w:r>
            <w:r w:rsidRPr="00ED1BD7">
              <w:rPr>
                <w:rFonts w:eastAsiaTheme="minorHAnsi"/>
                <w:sz w:val="18"/>
                <w:szCs w:val="18"/>
                <w:lang w:val="en-US"/>
              </w:rPr>
              <w:t>).</w:t>
            </w:r>
          </w:p>
        </w:tc>
      </w:tr>
    </w:tbl>
    <w:p w14:paraId="46E370B0" w14:textId="77777777" w:rsidR="009066FB" w:rsidRDefault="009066FB"/>
    <w:p w14:paraId="1E66DCD1" w14:textId="77777777" w:rsidR="009066FB" w:rsidRPr="00097678" w:rsidRDefault="009066FB" w:rsidP="00BD4624">
      <w:pPr>
        <w:spacing w:line="480" w:lineRule="auto"/>
        <w:rPr>
          <w:b/>
          <w:bCs/>
          <w:sz w:val="18"/>
          <w:szCs w:val="18"/>
          <w:lang w:val="en-US"/>
        </w:rPr>
      </w:pPr>
      <w:r w:rsidRPr="00147527">
        <w:rPr>
          <w:b/>
          <w:bCs/>
          <w:sz w:val="18"/>
          <w:szCs w:val="18"/>
          <w:lang w:val="en-US"/>
        </w:rPr>
        <w:t>REFERENCES</w:t>
      </w:r>
    </w:p>
    <w:p w14:paraId="6B31FF56" w14:textId="77777777" w:rsidR="009066FB" w:rsidRDefault="009066FB"/>
    <w:p w14:paraId="781D7608" w14:textId="77777777" w:rsidR="009066FB" w:rsidRPr="000B4FAE" w:rsidRDefault="009066FB" w:rsidP="000B4FAE">
      <w:pPr>
        <w:pStyle w:val="EndNoteBibliography"/>
        <w:ind w:left="720" w:hanging="720"/>
        <w:rPr>
          <w:noProof/>
        </w:rPr>
      </w:pPr>
      <w:r w:rsidRPr="000B4FAE">
        <w:rPr>
          <w:noProof/>
        </w:rPr>
        <w:t>1.</w:t>
      </w:r>
      <w:r w:rsidRPr="000B4FAE">
        <w:rPr>
          <w:noProof/>
        </w:rPr>
        <w:tab/>
        <w:t xml:space="preserve">Gopalakrishnan, J.; Ramani, A.; Mueller, L.; Ostermann, P. N.; Gabriel, E.; Pranty, A. I.; Mueller-Shiffmann, A.; Mariappan, A.; Goureau, O.; Gruell, H., SARS-CoV-2 targets cortical neurons of 3D human brain organoids and shows neurodegeneration-like effects. </w:t>
      </w:r>
      <w:r w:rsidRPr="000B4FAE">
        <w:rPr>
          <w:i/>
          <w:noProof/>
        </w:rPr>
        <w:t xml:space="preserve">bioRxiv </w:t>
      </w:r>
      <w:r w:rsidRPr="000B4FAE">
        <w:rPr>
          <w:b/>
          <w:noProof/>
        </w:rPr>
        <w:t>2020</w:t>
      </w:r>
      <w:r w:rsidRPr="000B4FAE">
        <w:rPr>
          <w:noProof/>
        </w:rPr>
        <w:t>, 0.15252/embj.2020106230</w:t>
      </w:r>
      <w:r>
        <w:rPr>
          <w:noProof/>
        </w:rPr>
        <w:t>.</w:t>
      </w:r>
    </w:p>
    <w:p w14:paraId="1D461169" w14:textId="77777777" w:rsidR="009066FB" w:rsidRDefault="009066FB"/>
    <w:p w14:paraId="2416B067" w14:textId="77777777" w:rsidR="001F59CF" w:rsidRDefault="001F59CF"/>
    <w:sectPr w:rsidR="001F59CF">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7DEE" w14:textId="77777777" w:rsidR="001A346F" w:rsidRDefault="001A346F">
      <w:r>
        <w:separator/>
      </w:r>
    </w:p>
  </w:endnote>
  <w:endnote w:type="continuationSeparator" w:id="0">
    <w:p w14:paraId="3680B1B0" w14:textId="77777777" w:rsidR="001A346F" w:rsidRDefault="001A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83329286"/>
      <w:docPartObj>
        <w:docPartGallery w:val="Page Numbers (Bottom of Page)"/>
        <w:docPartUnique/>
      </w:docPartObj>
    </w:sdtPr>
    <w:sdtContent>
      <w:p w14:paraId="6CB9D9C1" w14:textId="77777777" w:rsidR="001116E8" w:rsidRDefault="00000000" w:rsidP="0058092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E3C4D7" w14:textId="77777777" w:rsidR="001116E8"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30412169"/>
      <w:docPartObj>
        <w:docPartGallery w:val="Page Numbers (Bottom of Page)"/>
        <w:docPartUnique/>
      </w:docPartObj>
    </w:sdtPr>
    <w:sdtContent>
      <w:p w14:paraId="6DC25312" w14:textId="77777777" w:rsidR="001116E8" w:rsidRDefault="00000000" w:rsidP="0058092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2F9D77E" w14:textId="77777777" w:rsidR="001116E8"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5948" w14:textId="77777777" w:rsidR="001A346F" w:rsidRDefault="001A346F">
      <w:r>
        <w:separator/>
      </w:r>
    </w:p>
  </w:footnote>
  <w:footnote w:type="continuationSeparator" w:id="0">
    <w:p w14:paraId="6155AC34" w14:textId="77777777" w:rsidR="001A346F" w:rsidRDefault="001A3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066FB"/>
    <w:rsid w:val="00052857"/>
    <w:rsid w:val="001055A3"/>
    <w:rsid w:val="0013215F"/>
    <w:rsid w:val="0017540C"/>
    <w:rsid w:val="001A346F"/>
    <w:rsid w:val="001F59CF"/>
    <w:rsid w:val="00277389"/>
    <w:rsid w:val="003078EA"/>
    <w:rsid w:val="0033515F"/>
    <w:rsid w:val="004157C0"/>
    <w:rsid w:val="00447773"/>
    <w:rsid w:val="00497704"/>
    <w:rsid w:val="004E5589"/>
    <w:rsid w:val="00584A79"/>
    <w:rsid w:val="00645011"/>
    <w:rsid w:val="00696869"/>
    <w:rsid w:val="006B4E42"/>
    <w:rsid w:val="00746BD1"/>
    <w:rsid w:val="008D7E8A"/>
    <w:rsid w:val="009066FB"/>
    <w:rsid w:val="00963FE2"/>
    <w:rsid w:val="009E1E3B"/>
    <w:rsid w:val="00A66860"/>
    <w:rsid w:val="00A91202"/>
    <w:rsid w:val="00AD3CFA"/>
    <w:rsid w:val="00AE2BF7"/>
    <w:rsid w:val="00AF19E3"/>
    <w:rsid w:val="00B561D8"/>
    <w:rsid w:val="00B56AD6"/>
    <w:rsid w:val="00B708D5"/>
    <w:rsid w:val="00BA27EF"/>
    <w:rsid w:val="00C14228"/>
    <w:rsid w:val="00C32CC7"/>
    <w:rsid w:val="00C4569A"/>
    <w:rsid w:val="00FF0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81D97F4"/>
  <w15:chartTrackingRefBased/>
  <w15:docId w15:val="{D7991EB6-C9A5-434F-8015-79C16015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FB"/>
    <w:rPr>
      <w:rFonts w:ascii="Times New Roman" w:eastAsia="Times New Roman" w:hAnsi="Times New Roman"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066F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066FB"/>
    <w:pPr>
      <w:jc w:val="center"/>
    </w:pPr>
    <w:rPr>
      <w:lang w:val="en-US"/>
    </w:rPr>
  </w:style>
  <w:style w:type="character" w:customStyle="1" w:styleId="EndNoteBibliographyTitleChar">
    <w:name w:val="EndNote Bibliography Title Char"/>
    <w:basedOn w:val="Policepardfaut"/>
    <w:link w:val="EndNoteBibliographyTitle"/>
    <w:rsid w:val="009066FB"/>
    <w:rPr>
      <w:rFonts w:ascii="Times New Roman" w:eastAsia="Times New Roman" w:hAnsi="Times New Roman" w:cs="Times New Roman"/>
      <w:kern w:val="0"/>
      <w:lang w:val="en-US"/>
      <w14:ligatures w14:val="none"/>
    </w:rPr>
  </w:style>
  <w:style w:type="paragraph" w:customStyle="1" w:styleId="EndNoteBibliography">
    <w:name w:val="EndNote Bibliography"/>
    <w:basedOn w:val="Normal"/>
    <w:link w:val="EndNoteBibliographyChar"/>
    <w:rsid w:val="009066FB"/>
    <w:rPr>
      <w:lang w:val="en-US"/>
    </w:rPr>
  </w:style>
  <w:style w:type="character" w:customStyle="1" w:styleId="EndNoteBibliographyChar">
    <w:name w:val="EndNote Bibliography Char"/>
    <w:basedOn w:val="Policepardfaut"/>
    <w:link w:val="EndNoteBibliography"/>
    <w:rsid w:val="009066FB"/>
    <w:rPr>
      <w:rFonts w:ascii="Times New Roman" w:eastAsia="Times New Roman" w:hAnsi="Times New Roman" w:cs="Times New Roman"/>
      <w:kern w:val="0"/>
      <w:lang w:val="en-US"/>
      <w14:ligatures w14:val="none"/>
    </w:rPr>
  </w:style>
  <w:style w:type="paragraph" w:styleId="Pieddepage">
    <w:name w:val="footer"/>
    <w:basedOn w:val="Normal"/>
    <w:link w:val="PieddepageCar"/>
    <w:uiPriority w:val="99"/>
    <w:unhideWhenUsed/>
    <w:rsid w:val="009066FB"/>
    <w:pPr>
      <w:tabs>
        <w:tab w:val="center" w:pos="4680"/>
        <w:tab w:val="right" w:pos="9360"/>
      </w:tabs>
    </w:pPr>
  </w:style>
  <w:style w:type="character" w:customStyle="1" w:styleId="PieddepageCar">
    <w:name w:val="Pied de page Car"/>
    <w:basedOn w:val="Policepardfaut"/>
    <w:link w:val="Pieddepage"/>
    <w:uiPriority w:val="99"/>
    <w:rsid w:val="009066FB"/>
    <w:rPr>
      <w:rFonts w:ascii="Times New Roman" w:eastAsia="Times New Roman" w:hAnsi="Times New Roman" w:cs="Times New Roman"/>
      <w:kern w:val="0"/>
      <w14:ligatures w14:val="none"/>
    </w:rPr>
  </w:style>
  <w:style w:type="character" w:styleId="Numrodepage">
    <w:name w:val="page number"/>
    <w:basedOn w:val="Policepardfaut"/>
    <w:uiPriority w:val="99"/>
    <w:semiHidden/>
    <w:unhideWhenUsed/>
    <w:rsid w:val="0090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6997</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Holper</dc:creator>
  <cp:keywords/>
  <dc:description/>
  <cp:lastModifiedBy>Virginie Cassigneul</cp:lastModifiedBy>
  <cp:revision>2</cp:revision>
  <dcterms:created xsi:type="dcterms:W3CDTF">2023-04-14T11:51:00Z</dcterms:created>
  <dcterms:modified xsi:type="dcterms:W3CDTF">2023-04-14T11:51:00Z</dcterms:modified>
</cp:coreProperties>
</file>