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36FA" w14:textId="77777777" w:rsidR="007A5E44" w:rsidRPr="007A5E44" w:rsidRDefault="007A5E44" w:rsidP="007A5E44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7A5E4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Extended Data</w:t>
      </w:r>
    </w:p>
    <w:p w14:paraId="6850C200" w14:textId="77777777" w:rsidR="007A5E44" w:rsidRPr="007A5E44" w:rsidRDefault="007A5E44" w:rsidP="007A5E4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7A5E4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Figure S1. Treatment difference of c</w:t>
      </w:r>
      <w:r w:rsidRPr="007A5E4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hange from b</w:t>
      </w:r>
      <w:r w:rsidRPr="007A5E4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aseline in CDR‐SB, MMSE, ADAS‐Cog13</w:t>
      </w:r>
      <w:r w:rsidRPr="007A5E4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,</w:t>
      </w:r>
      <w:r w:rsidRPr="007A5E4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and ADCS‐ADL‐MCI at week 78 grouped by s</w:t>
      </w:r>
      <w:r w:rsidRPr="007A5E4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tudy, dose,</w:t>
      </w:r>
      <w:r w:rsidRPr="007A5E4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and ApoE ε4 c</w:t>
      </w:r>
      <w:r w:rsidRPr="007A5E4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arrier s</w:t>
      </w:r>
      <w:r w:rsidRPr="007A5E4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tatus and including or e</w:t>
      </w:r>
      <w:r w:rsidRPr="007A5E4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xcluding p</w:t>
      </w:r>
      <w:r w:rsidRPr="007A5E4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ost‐ARIA observations</w:t>
      </w:r>
    </w:p>
    <w:p w14:paraId="7D2F6824" w14:textId="77777777" w:rsidR="007A5E44" w:rsidRPr="007A5E44" w:rsidRDefault="007A5E44" w:rsidP="007A5E44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drawing>
          <wp:inline distT="0" distB="0" distL="0" distR="0" wp14:anchorId="7A9A17B4" wp14:editId="048C5D83">
            <wp:extent cx="5865296" cy="4288536"/>
            <wp:effectExtent l="0" t="0" r="2540" b="0"/>
            <wp:docPr id="7" name="Picture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96" cy="4288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5E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1EBB2DBB" w14:textId="77777777" w:rsidR="007A5E44" w:rsidRPr="007A5E44" w:rsidRDefault="007A5E44" w:rsidP="007A5E4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A5E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Blue represents ENGAGE; green represents EMERGE; square, high dose; circle, low dose; filled, ApoE ε4 carrier; </w:t>
      </w:r>
      <w:proofErr w:type="spellStart"/>
      <w:r w:rsidRPr="007A5E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nonfilled</w:t>
      </w:r>
      <w:proofErr w:type="spellEnd"/>
      <w:r w:rsidRPr="007A5E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ApoE ε4; noncarrier; solid line is line of unity</w:t>
      </w:r>
      <w:r w:rsidRPr="007A5E4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DD63421" w14:textId="2AB49603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sz w:val="24"/>
          <w:szCs w:val="24"/>
          <w:lang w:val="en-GB"/>
        </w:rPr>
        <w:t>Primary analysis includes post-ARIA observations. Results were based on an MMRM, with change from baseline in CDR-SB, MMSE, ADAS-Cog13, or ADCS-ADL-MCI score as the dependent variable and with fixed effects of treatment group, categorical visit, treatment-by-visit interaction, baseline measure, baseline measure–by-visit interaction, baseline MMSE score (same as baseline score in the MMSE model), Alzheimer disease symptomatic medication use at baseline, region, laboratory ApoE ε4 status, ApoE ε4–by-visit, ApoE ε4–by-treatment, and ApoE ε4–by-visit-by-treatment interactions</w:t>
      </w:r>
      <w:r w:rsidRPr="007A5E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r w:rsidRPr="007A5E44">
        <w:rPr>
          <w:rFonts w:ascii="Times New Roman" w:eastAsia="Times New Roman" w:hAnsi="Times New Roman" w:cs="Times New Roman"/>
          <w:sz w:val="24"/>
          <w:szCs w:val="24"/>
          <w:lang w:val="en-GB"/>
        </w:rPr>
        <w:t>ADAS-Cog13, Alzheimer</w:t>
      </w:r>
      <w:r w:rsidR="000D7784">
        <w:rPr>
          <w:rFonts w:ascii="Times New Roman" w:eastAsia="Times New Roman" w:hAnsi="Times New Roman" w:cs="Times New Roman"/>
          <w:sz w:val="24"/>
          <w:szCs w:val="24"/>
          <w:lang w:val="en-GB"/>
        </w:rPr>
        <w:t>’s</w:t>
      </w:r>
      <w:r w:rsidRPr="007A5E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Disease Assessment Scale–Cognitive Subscale, 13 item; ADCS-ADL-MCI, Alzheimer</w:t>
      </w:r>
      <w:r w:rsidR="000D7784">
        <w:rPr>
          <w:rFonts w:ascii="Times New Roman" w:eastAsia="Times New Roman" w:hAnsi="Times New Roman" w:cs="Times New Roman"/>
          <w:sz w:val="24"/>
          <w:szCs w:val="24"/>
          <w:lang w:val="en-GB"/>
        </w:rPr>
        <w:t>’s</w:t>
      </w:r>
      <w:r w:rsidRPr="007A5E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Disease Cooperative Study–Activities of Daily Living Inventory, mild cognitive impairment version; ApoE, apolipoprotein E; ARIA, amyloid-related imaging abnormalities; CDR-SB, Clinical Dementia Rating Scale–Sum of Boxes; MMRM, mixed model for repeated measures; MMSE, Mini-Mental State Examination.</w:t>
      </w:r>
    </w:p>
    <w:p w14:paraId="6D9A9D9E" w14:textId="77777777" w:rsidR="007A5E44" w:rsidRPr="007A5E44" w:rsidRDefault="007A5E44" w:rsidP="007A5E44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br w:type="page"/>
      </w:r>
    </w:p>
    <w:p w14:paraId="5F9DA91D" w14:textId="77777777" w:rsidR="007A5E44" w:rsidRPr="007A5E44" w:rsidRDefault="007A5E44" w:rsidP="007A5E44">
      <w:p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Figure S2.</w:t>
      </w:r>
      <w:bookmarkStart w:id="0" w:name="_Hlk73104241"/>
      <w:r w:rsidRPr="007A5E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Distribution of CDR-SB change from baseline at week 78</w:t>
      </w:r>
      <w:bookmarkEnd w:id="0"/>
    </w:p>
    <w:p w14:paraId="3E6D9AF9" w14:textId="77777777" w:rsidR="007A5E44" w:rsidRPr="007A5E44" w:rsidRDefault="007A5E44" w:rsidP="007A5E44">
      <w:pPr>
        <w:numPr>
          <w:ilvl w:val="3"/>
          <w:numId w:val="0"/>
        </w:num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17EC2DA7" wp14:editId="5AA028F2">
            <wp:extent cx="6283843" cy="4428066"/>
            <wp:effectExtent l="0" t="0" r="0" b="0"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800" cy="4432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F0958" w14:textId="77777777" w:rsidR="007A5E44" w:rsidRPr="007A5E44" w:rsidRDefault="007A5E44" w:rsidP="007A5E44">
      <w:p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ectPr w:rsidR="007A5E44" w:rsidRPr="007A5E44" w:rsidSect="005B68B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7A5E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histogram display of the data from all treatment groups across both studies revealed that CDR‐SB change from baseline at week 78 was right‐skewed with a small percentage of patients having relatively large increases (31 rapid progressors [ &gt;8 points on CDR-SB change from baseline over 78 weeks] out of 3265 patients in EMERGE and ENGAGE). Some degree of right‐skewness is expected as </w:t>
      </w:r>
      <w:r w:rsidRPr="007A5E44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the mean baseline CDR‐SB was approximately 2.5 on a scale that ranges from 0 to 18. CDR-SB, Clinical Dementia Rating Scale–Sum of Boxes.</w:t>
      </w:r>
    </w:p>
    <w:p w14:paraId="40762200" w14:textId="77777777" w:rsidR="007A5E44" w:rsidRPr="007A5E44" w:rsidRDefault="007A5E44" w:rsidP="007A5E4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bookmarkStart w:id="1" w:name="_Hlk73105092"/>
      <w:bookmarkStart w:id="2" w:name="_Hlk92362706"/>
      <w:r w:rsidRPr="007A5E4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 xml:space="preserve">Figure S3. Adjusted mean change on CDR-SB by </w:t>
      </w:r>
      <w:bookmarkEnd w:id="1"/>
      <w:r w:rsidRPr="007A5E4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ApoE carrier status in the pre-PV4 and PV4 subset</w:t>
      </w:r>
      <w:r w:rsidRPr="007A5E44">
        <w:rPr>
          <w:rFonts w:ascii="Times New Roman" w:eastAsia="Times New Roman" w:hAnsi="Times New Roman" w:cs="Times New Roman"/>
          <w:b/>
          <w:sz w:val="24"/>
          <w:szCs w:val="28"/>
          <w:lang w:val="en-GB" w:eastAsia="en-GB"/>
        </w:rPr>
        <w:t>s</w:t>
      </w:r>
    </w:p>
    <w:p w14:paraId="0F033A36" w14:textId="77777777" w:rsidR="007A5E44" w:rsidRPr="007A5E44" w:rsidRDefault="007A5E44" w:rsidP="007A5E44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7A5E44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4D4FBE7B" wp14:editId="074B441D">
            <wp:extent cx="7834796" cy="3761117"/>
            <wp:effectExtent l="0" t="0" r="0" b="0"/>
            <wp:docPr id="199" name="Picture 19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352" cy="377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CE5CA" w14:textId="77777777" w:rsidR="007A5E44" w:rsidRPr="007A5E44" w:rsidRDefault="007A5E44" w:rsidP="007A5E44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7A682463" w14:textId="77777777" w:rsidR="007A5E44" w:rsidRPr="007A5E44" w:rsidRDefault="007A5E44" w:rsidP="007A5E44">
      <w:p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ITT population that </w:t>
      </w:r>
      <w:proofErr w:type="gramStart"/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have</w:t>
      </w:r>
      <w:proofErr w:type="gramEnd"/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had the opportunity to complete Week 78 by March 20, 2019.</w:t>
      </w:r>
    </w:p>
    <w:p w14:paraId="0848D80A" w14:textId="77777777" w:rsidR="007A5E44" w:rsidRPr="007A5E44" w:rsidRDefault="007A5E44" w:rsidP="007A5E44">
      <w:p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ApoE, apolipoprotein E; CDR-SB, Clinical Dementia Rating Scale–Sum of Boxes; cum, cumulative; diff, difference; PV4, protocol version 4.</w:t>
      </w:r>
    </w:p>
    <w:bookmarkEnd w:id="2"/>
    <w:p w14:paraId="6D94A4AA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Table S1. Summary of treatment effects on clinical endpoints at week 78 in EMERGE and ENGAGE</w:t>
      </w:r>
    </w:p>
    <w:p w14:paraId="7A7DEDF6" w14:textId="77777777" w:rsidR="007A5E44" w:rsidRPr="007A5E44" w:rsidRDefault="007A5E44" w:rsidP="007A5E44">
      <w:pPr>
        <w:numPr>
          <w:ilvl w:val="3"/>
          <w:numId w:val="0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6D80AE53" wp14:editId="7CACA347">
            <wp:extent cx="8308882" cy="440182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874" cy="4405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EFF43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sz w:val="24"/>
          <w:szCs w:val="24"/>
          <w:lang w:val="en-GB"/>
        </w:rPr>
        <w:t>EMERGE and ENGAGE results from</w:t>
      </w:r>
      <w:r w:rsidRPr="007A5E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Budd Haeberlein S, et al. 2022.</w:t>
      </w:r>
      <w:r w:rsidRPr="007A5E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The analyses were performed in the ITT population. </w:t>
      </w:r>
      <w:r w:rsidRPr="007A5E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MMRM was used to assess CDR-SB, MMSE, ADAS-Cog13, and ADCS-ADL-MCI scores, </w:t>
      </w:r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with fixed effects of treatment, categorical visit, </w:t>
      </w:r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 xml:space="preserve">treatment-by-visit interaction, baseline score, baseline score–by-visit interaction, baseline MMSE score (same as baseline score in the MMSE model), Alzheimer disease symptomatic medication use at baseline, region, and ApoE ε4 status (carrier and noncarrier). </w:t>
      </w:r>
    </w:p>
    <w:p w14:paraId="5C3381C8" w14:textId="127EC906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ADAS-Cog13, Alzheimer</w:t>
      </w:r>
      <w:r w:rsidR="007A023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’s</w:t>
      </w:r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Disease Assessment Scale–Cognitive Subscale, 13 item; ADCS-ADL-MCI, Alzheimer</w:t>
      </w:r>
      <w:r w:rsidR="007A023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’s</w:t>
      </w:r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Disease Cooperative Study–Activities of Daily Living Inventory, mild cognitive impairment version; ApoE, apolipoprotein E; CDR-SB, Clinical Dementia Rating Scale–Sum of Boxes; ITT, intention to treat; MMRM, mixed model for repeated measures; MMSE, Mini-Mental State Examination.</w:t>
      </w:r>
    </w:p>
    <w:p w14:paraId="3F06CAB2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/>
        </w:rPr>
        <w:t xml:space="preserve">a </w:t>
      </w:r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CDR-SB scores range from 0 to 18, with higher scores indicating greater impairment.</w:t>
      </w:r>
    </w:p>
    <w:p w14:paraId="029ADDDE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/>
        </w:rPr>
        <w:t xml:space="preserve">b </w:t>
      </w:r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MMSE scores range from 0 to 30, with lower scores indicating greater impairment.</w:t>
      </w:r>
    </w:p>
    <w:p w14:paraId="0A3E40E7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/>
        </w:rPr>
        <w:t xml:space="preserve">c </w:t>
      </w:r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ADAS-Cog13 scores range from 0 to 85, with higher scores indicating greater impairment.</w:t>
      </w:r>
    </w:p>
    <w:p w14:paraId="114C9AB1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/>
        </w:rPr>
        <w:t>d</w:t>
      </w:r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ADCS-ADL-MCI scores range from 0 to 53, with lower scores indicating greater impairment.</w:t>
      </w:r>
    </w:p>
    <w:p w14:paraId="42D72852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/>
        </w:rPr>
        <w:t>e</w:t>
      </w:r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Difference vs placebo at week 78. Negative percentage means less progression in the treated arm.</w:t>
      </w:r>
    </w:p>
    <w:p w14:paraId="5332ACF0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5A215EEF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D43D84E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ECE0E3D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2051534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80B139B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BFBDF20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>Table S2. Radiographic severity and symptomatic status of ARIA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910"/>
        <w:gridCol w:w="1634"/>
        <w:gridCol w:w="1559"/>
        <w:gridCol w:w="1766"/>
      </w:tblGrid>
      <w:tr w:rsidR="007A5E44" w:rsidRPr="007A5E44" w14:paraId="76A896DB" w14:textId="77777777" w:rsidTr="00E964E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08ABB9DA" w14:textId="77777777" w:rsidR="007A5E44" w:rsidRPr="007A5E44" w:rsidRDefault="007A5E44" w:rsidP="007A5E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44">
              <w:rPr>
                <w:rFonts w:ascii="Times New Roman" w:hAnsi="Times New Roman"/>
                <w:b/>
                <w:bCs/>
                <w:sz w:val="24"/>
                <w:szCs w:val="24"/>
              </w:rPr>
              <w:t>Number of participants (%)</w:t>
            </w:r>
          </w:p>
        </w:tc>
        <w:tc>
          <w:tcPr>
            <w:tcW w:w="5737" w:type="dxa"/>
            <w:gridSpan w:val="3"/>
            <w:tcBorders>
              <w:bottom w:val="single" w:sz="8" w:space="0" w:color="auto"/>
            </w:tcBorders>
          </w:tcPr>
          <w:p w14:paraId="3F0590F9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44">
              <w:rPr>
                <w:rFonts w:ascii="Times New Roman" w:hAnsi="Times New Roman"/>
                <w:b/>
                <w:bCs/>
                <w:sz w:val="24"/>
                <w:szCs w:val="24"/>
              </w:rPr>
              <w:t>EMERGE</w:t>
            </w:r>
          </w:p>
        </w:tc>
        <w:tc>
          <w:tcPr>
            <w:tcW w:w="4959" w:type="dxa"/>
            <w:gridSpan w:val="3"/>
          </w:tcPr>
          <w:p w14:paraId="539783D0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44">
              <w:rPr>
                <w:rFonts w:ascii="Times New Roman" w:hAnsi="Times New Roman"/>
                <w:b/>
                <w:bCs/>
                <w:sz w:val="24"/>
                <w:szCs w:val="24"/>
              </w:rPr>
              <w:t>ENGAGE</w:t>
            </w:r>
          </w:p>
        </w:tc>
      </w:tr>
      <w:tr w:rsidR="007A5E44" w:rsidRPr="007A5E44" w14:paraId="20009C2B" w14:textId="77777777" w:rsidTr="00E964E0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bottom w:val="single" w:sz="4" w:space="0" w:color="auto"/>
            </w:tcBorders>
          </w:tcPr>
          <w:p w14:paraId="3CB036A9" w14:textId="77777777" w:rsidR="007A5E44" w:rsidRPr="007A5E44" w:rsidRDefault="007A5E44" w:rsidP="007A5E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4F2DC8D6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44">
              <w:rPr>
                <w:rFonts w:ascii="Times New Roman" w:hAnsi="Times New Roman"/>
                <w:b/>
                <w:bCs/>
                <w:sz w:val="24"/>
                <w:szCs w:val="24"/>
              </w:rPr>
              <w:t>Placebo (n=544)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2A7E929C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44">
              <w:rPr>
                <w:rFonts w:ascii="Times New Roman" w:hAnsi="Times New Roman"/>
                <w:b/>
                <w:bCs/>
                <w:sz w:val="24"/>
                <w:szCs w:val="24"/>
              </w:rPr>
              <w:t>Low dose (n=537)</w:t>
            </w:r>
          </w:p>
        </w:tc>
        <w:tc>
          <w:tcPr>
            <w:tcW w:w="1910" w:type="dxa"/>
            <w:tcBorders>
              <w:top w:val="single" w:sz="8" w:space="0" w:color="auto"/>
            </w:tcBorders>
          </w:tcPr>
          <w:p w14:paraId="54CB2E7B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44">
              <w:rPr>
                <w:rFonts w:ascii="Times New Roman" w:hAnsi="Times New Roman"/>
                <w:b/>
                <w:bCs/>
                <w:sz w:val="24"/>
                <w:szCs w:val="24"/>
              </w:rPr>
              <w:t>High dose (n=541)</w:t>
            </w:r>
          </w:p>
        </w:tc>
        <w:tc>
          <w:tcPr>
            <w:tcW w:w="1634" w:type="dxa"/>
            <w:tcBorders>
              <w:top w:val="single" w:sz="8" w:space="0" w:color="auto"/>
            </w:tcBorders>
          </w:tcPr>
          <w:p w14:paraId="11C30D49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44">
              <w:rPr>
                <w:rFonts w:ascii="Times New Roman" w:hAnsi="Times New Roman"/>
                <w:b/>
                <w:bCs/>
                <w:sz w:val="24"/>
                <w:szCs w:val="24"/>
              </w:rPr>
              <w:t>Placebo (n=532)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02E172E1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44">
              <w:rPr>
                <w:rFonts w:ascii="Times New Roman" w:hAnsi="Times New Roman"/>
                <w:b/>
                <w:bCs/>
                <w:sz w:val="24"/>
                <w:szCs w:val="24"/>
              </w:rPr>
              <w:t>Low dose (n=545)</w:t>
            </w:r>
          </w:p>
        </w:tc>
        <w:tc>
          <w:tcPr>
            <w:tcW w:w="1766" w:type="dxa"/>
            <w:tcBorders>
              <w:top w:val="single" w:sz="8" w:space="0" w:color="auto"/>
            </w:tcBorders>
          </w:tcPr>
          <w:p w14:paraId="1E00CE8C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44">
              <w:rPr>
                <w:rFonts w:ascii="Times New Roman" w:hAnsi="Times New Roman"/>
                <w:b/>
                <w:bCs/>
                <w:sz w:val="24"/>
                <w:szCs w:val="24"/>
              </w:rPr>
              <w:t>High dose (n=554)</w:t>
            </w:r>
          </w:p>
        </w:tc>
      </w:tr>
      <w:tr w:rsidR="007A5E44" w:rsidRPr="007A5E44" w14:paraId="1F64CB81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273D6CA" w14:textId="77777777" w:rsidR="007A5E44" w:rsidRPr="007A5E44" w:rsidRDefault="007A5E44" w:rsidP="007A5E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44">
              <w:rPr>
                <w:rFonts w:ascii="Times New Roman" w:hAnsi="Times New Roman"/>
                <w:b/>
                <w:bCs/>
                <w:sz w:val="24"/>
                <w:szCs w:val="24"/>
              </w:rPr>
              <w:t>Any ARIA</w:t>
            </w:r>
          </w:p>
        </w:tc>
        <w:tc>
          <w:tcPr>
            <w:tcW w:w="1842" w:type="dxa"/>
          </w:tcPr>
          <w:p w14:paraId="4103F3ED" w14:textId="74C66F72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56 (10.</w:t>
            </w:r>
            <w:r w:rsidR="00F91095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4FB19E31" w14:textId="6B9A3675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178 (3</w:t>
            </w:r>
            <w:r w:rsidR="00F91095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="00F91095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</w:tcPr>
          <w:p w14:paraId="6C0EA87F" w14:textId="1C144E81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228 (</w:t>
            </w:r>
            <w:r w:rsidR="00F91095" w:rsidRPr="007A5E44">
              <w:rPr>
                <w:rFonts w:ascii="Times New Roman" w:eastAsia="MS Mincho" w:hAnsi="Times New Roman"/>
                <w:sz w:val="24"/>
                <w:szCs w:val="24"/>
              </w:rPr>
              <w:t>4</w:t>
            </w:r>
            <w:r w:rsidR="00F91095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="00F91095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14:paraId="09630328" w14:textId="77777777" w:rsidR="007A5E44" w:rsidRPr="007A5E44" w:rsidRDefault="007A5E44" w:rsidP="007A5E44">
            <w:pPr>
              <w:numPr>
                <w:ilvl w:val="3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55 (10.3)</w:t>
            </w:r>
          </w:p>
        </w:tc>
        <w:tc>
          <w:tcPr>
            <w:tcW w:w="1559" w:type="dxa"/>
          </w:tcPr>
          <w:p w14:paraId="367CC21D" w14:textId="77777777" w:rsidR="007A5E44" w:rsidRPr="007A5E44" w:rsidRDefault="007A5E44" w:rsidP="007A5E44">
            <w:pPr>
              <w:numPr>
                <w:ilvl w:val="3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171 (31.4)</w:t>
            </w:r>
          </w:p>
        </w:tc>
        <w:tc>
          <w:tcPr>
            <w:tcW w:w="1766" w:type="dxa"/>
          </w:tcPr>
          <w:p w14:paraId="6B2FAF4B" w14:textId="77777777" w:rsidR="007A5E44" w:rsidRPr="007A5E44" w:rsidRDefault="007A5E44" w:rsidP="007A5E44">
            <w:pPr>
              <w:numPr>
                <w:ilvl w:val="3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226 (40.8)</w:t>
            </w:r>
          </w:p>
        </w:tc>
      </w:tr>
      <w:tr w:rsidR="007A5E44" w:rsidRPr="007A5E44" w14:paraId="2B02F36C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8DFE60E" w14:textId="77777777" w:rsidR="007A5E44" w:rsidRPr="007A5E44" w:rsidRDefault="007A5E44" w:rsidP="007A5E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ARIA-E </w:t>
            </w:r>
          </w:p>
        </w:tc>
        <w:tc>
          <w:tcPr>
            <w:tcW w:w="1842" w:type="dxa"/>
          </w:tcPr>
          <w:p w14:paraId="4089B141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7D61E25A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10" w:type="dxa"/>
          </w:tcPr>
          <w:p w14:paraId="2F358B6F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634" w:type="dxa"/>
          </w:tcPr>
          <w:p w14:paraId="3432FB2A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22DA4BEF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141</w:t>
            </w:r>
          </w:p>
        </w:tc>
        <w:tc>
          <w:tcPr>
            <w:tcW w:w="1766" w:type="dxa"/>
          </w:tcPr>
          <w:p w14:paraId="2B9FC2DA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199</w:t>
            </w:r>
          </w:p>
        </w:tc>
      </w:tr>
      <w:tr w:rsidR="007A5E44" w:rsidRPr="007A5E44" w14:paraId="3D40B5A9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B4141FD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Mild</w:t>
            </w:r>
          </w:p>
        </w:tc>
        <w:tc>
          <w:tcPr>
            <w:tcW w:w="1842" w:type="dxa"/>
          </w:tcPr>
          <w:p w14:paraId="018D52E4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9 (69.2)</w:t>
            </w:r>
          </w:p>
        </w:tc>
        <w:tc>
          <w:tcPr>
            <w:tcW w:w="1985" w:type="dxa"/>
          </w:tcPr>
          <w:p w14:paraId="25B1AF59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48 (34.3)</w:t>
            </w:r>
          </w:p>
        </w:tc>
        <w:tc>
          <w:tcPr>
            <w:tcW w:w="1910" w:type="dxa"/>
          </w:tcPr>
          <w:p w14:paraId="2CA0BDDB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56 (29.8)</w:t>
            </w:r>
          </w:p>
        </w:tc>
        <w:tc>
          <w:tcPr>
            <w:tcW w:w="1634" w:type="dxa"/>
          </w:tcPr>
          <w:p w14:paraId="2DA03557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12 (75.0)</w:t>
            </w:r>
          </w:p>
        </w:tc>
        <w:tc>
          <w:tcPr>
            <w:tcW w:w="1559" w:type="dxa"/>
          </w:tcPr>
          <w:p w14:paraId="762B2454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45 (31.9)</w:t>
            </w:r>
          </w:p>
        </w:tc>
        <w:tc>
          <w:tcPr>
            <w:tcW w:w="1766" w:type="dxa"/>
          </w:tcPr>
          <w:p w14:paraId="701DAB47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59 (29.6)</w:t>
            </w:r>
          </w:p>
        </w:tc>
      </w:tr>
      <w:tr w:rsidR="007A5E44" w:rsidRPr="007A5E44" w14:paraId="25041430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685D967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  <w:tc>
          <w:tcPr>
            <w:tcW w:w="1842" w:type="dxa"/>
          </w:tcPr>
          <w:p w14:paraId="07F2296D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4 (30.8)</w:t>
            </w:r>
          </w:p>
        </w:tc>
        <w:tc>
          <w:tcPr>
            <w:tcW w:w="1985" w:type="dxa"/>
          </w:tcPr>
          <w:p w14:paraId="702BE860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80 (57.1)</w:t>
            </w:r>
          </w:p>
        </w:tc>
        <w:tc>
          <w:tcPr>
            <w:tcW w:w="1910" w:type="dxa"/>
          </w:tcPr>
          <w:p w14:paraId="5F7EAA67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114 (60.6)</w:t>
            </w:r>
          </w:p>
        </w:tc>
        <w:tc>
          <w:tcPr>
            <w:tcW w:w="1634" w:type="dxa"/>
          </w:tcPr>
          <w:p w14:paraId="195C1141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4 (25.0)</w:t>
            </w:r>
          </w:p>
        </w:tc>
        <w:tc>
          <w:tcPr>
            <w:tcW w:w="1559" w:type="dxa"/>
          </w:tcPr>
          <w:p w14:paraId="7C0EAA4D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82 (58.2)</w:t>
            </w:r>
          </w:p>
        </w:tc>
        <w:tc>
          <w:tcPr>
            <w:tcW w:w="1766" w:type="dxa"/>
          </w:tcPr>
          <w:p w14:paraId="59A834F2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109 (54.8)</w:t>
            </w:r>
          </w:p>
        </w:tc>
      </w:tr>
      <w:tr w:rsidR="007A5E44" w:rsidRPr="007A5E44" w14:paraId="7B688911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8873AF9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Severe</w:t>
            </w:r>
          </w:p>
        </w:tc>
        <w:tc>
          <w:tcPr>
            <w:tcW w:w="1842" w:type="dxa"/>
          </w:tcPr>
          <w:p w14:paraId="66EE2B83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A081E40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12 (8.6)</w:t>
            </w:r>
          </w:p>
        </w:tc>
        <w:tc>
          <w:tcPr>
            <w:tcW w:w="1910" w:type="dxa"/>
          </w:tcPr>
          <w:p w14:paraId="047D590B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18 (9.6)</w:t>
            </w:r>
          </w:p>
        </w:tc>
        <w:tc>
          <w:tcPr>
            <w:tcW w:w="1634" w:type="dxa"/>
          </w:tcPr>
          <w:p w14:paraId="57CD9BAA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5D9AA18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14 (9.9)</w:t>
            </w:r>
          </w:p>
        </w:tc>
        <w:tc>
          <w:tcPr>
            <w:tcW w:w="1766" w:type="dxa"/>
          </w:tcPr>
          <w:p w14:paraId="0A5F0C53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31 (15.6)</w:t>
            </w:r>
          </w:p>
        </w:tc>
      </w:tr>
      <w:tr w:rsidR="007A5E44" w:rsidRPr="007A5E44" w14:paraId="5A8B3E1C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45F44DD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Asymptomatic</w:t>
            </w:r>
          </w:p>
        </w:tc>
        <w:tc>
          <w:tcPr>
            <w:tcW w:w="1842" w:type="dxa"/>
          </w:tcPr>
          <w:p w14:paraId="05E1BD83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12 (92.3)</w:t>
            </w:r>
          </w:p>
        </w:tc>
        <w:tc>
          <w:tcPr>
            <w:tcW w:w="1985" w:type="dxa"/>
          </w:tcPr>
          <w:p w14:paraId="402FFB5E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105 (75.0)</w:t>
            </w:r>
          </w:p>
        </w:tc>
        <w:tc>
          <w:tcPr>
            <w:tcW w:w="1910" w:type="dxa"/>
          </w:tcPr>
          <w:p w14:paraId="0BCB2882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146 (77.7)</w:t>
            </w:r>
          </w:p>
        </w:tc>
        <w:tc>
          <w:tcPr>
            <w:tcW w:w="1634" w:type="dxa"/>
          </w:tcPr>
          <w:p w14:paraId="0BDDB129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14 (87.5)</w:t>
            </w:r>
          </w:p>
        </w:tc>
        <w:tc>
          <w:tcPr>
            <w:tcW w:w="1559" w:type="dxa"/>
          </w:tcPr>
          <w:p w14:paraId="52E232A2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115 (81.6)</w:t>
            </w:r>
          </w:p>
        </w:tc>
        <w:tc>
          <w:tcPr>
            <w:tcW w:w="1766" w:type="dxa"/>
          </w:tcPr>
          <w:p w14:paraId="4ABD484B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140 (70.4)</w:t>
            </w:r>
          </w:p>
        </w:tc>
      </w:tr>
      <w:tr w:rsidR="007A5E44" w:rsidRPr="007A5E44" w14:paraId="38C655E4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ADAA259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Symptomatic</w:t>
            </w:r>
          </w:p>
        </w:tc>
        <w:tc>
          <w:tcPr>
            <w:tcW w:w="1842" w:type="dxa"/>
          </w:tcPr>
          <w:p w14:paraId="2092F292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 (7.7)</w:t>
            </w:r>
          </w:p>
        </w:tc>
        <w:tc>
          <w:tcPr>
            <w:tcW w:w="1985" w:type="dxa"/>
          </w:tcPr>
          <w:p w14:paraId="40709465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35 (25.0)</w:t>
            </w:r>
          </w:p>
        </w:tc>
        <w:tc>
          <w:tcPr>
            <w:tcW w:w="1910" w:type="dxa"/>
          </w:tcPr>
          <w:p w14:paraId="39F9B9DD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42 (22.3)</w:t>
            </w:r>
          </w:p>
        </w:tc>
        <w:tc>
          <w:tcPr>
            <w:tcW w:w="1634" w:type="dxa"/>
          </w:tcPr>
          <w:p w14:paraId="3C5C1E97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 (12.5)</w:t>
            </w:r>
          </w:p>
        </w:tc>
        <w:tc>
          <w:tcPr>
            <w:tcW w:w="1559" w:type="dxa"/>
          </w:tcPr>
          <w:p w14:paraId="350E4F63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26 (18.4)</w:t>
            </w:r>
          </w:p>
        </w:tc>
        <w:tc>
          <w:tcPr>
            <w:tcW w:w="1766" w:type="dxa"/>
          </w:tcPr>
          <w:p w14:paraId="01085C37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59 (29.6)</w:t>
            </w:r>
          </w:p>
        </w:tc>
      </w:tr>
      <w:tr w:rsidR="007A5E44" w:rsidRPr="007A5E44" w14:paraId="79A044D6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BD9D03E" w14:textId="77777777" w:rsidR="007A5E44" w:rsidRPr="007A5E44" w:rsidRDefault="007A5E44" w:rsidP="007A5E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ARIA-H microhemorrhage </w:t>
            </w:r>
          </w:p>
        </w:tc>
        <w:tc>
          <w:tcPr>
            <w:tcW w:w="1842" w:type="dxa"/>
          </w:tcPr>
          <w:p w14:paraId="5E16933E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14:paraId="231B9E9F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10" w:type="dxa"/>
          </w:tcPr>
          <w:p w14:paraId="75A0FF38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634" w:type="dxa"/>
          </w:tcPr>
          <w:p w14:paraId="3C6BEFCB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13DB20AE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66" w:type="dxa"/>
          </w:tcPr>
          <w:p w14:paraId="58817632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7A5E44" w:rsidRPr="007A5E44" w14:paraId="59DC9F3A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47DBC6E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Mild</w:t>
            </w:r>
          </w:p>
        </w:tc>
        <w:tc>
          <w:tcPr>
            <w:tcW w:w="1842" w:type="dxa"/>
          </w:tcPr>
          <w:p w14:paraId="36B29703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34 (91.9)</w:t>
            </w:r>
          </w:p>
        </w:tc>
        <w:tc>
          <w:tcPr>
            <w:tcW w:w="1985" w:type="dxa"/>
          </w:tcPr>
          <w:p w14:paraId="7C5819C4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65 (74.7)</w:t>
            </w:r>
          </w:p>
        </w:tc>
        <w:tc>
          <w:tcPr>
            <w:tcW w:w="1910" w:type="dxa"/>
          </w:tcPr>
          <w:p w14:paraId="5AE15F93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80 (74.1)</w:t>
            </w:r>
          </w:p>
        </w:tc>
        <w:tc>
          <w:tcPr>
            <w:tcW w:w="1634" w:type="dxa"/>
          </w:tcPr>
          <w:p w14:paraId="131C6F7C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31 (91.2)</w:t>
            </w:r>
          </w:p>
        </w:tc>
        <w:tc>
          <w:tcPr>
            <w:tcW w:w="1559" w:type="dxa"/>
          </w:tcPr>
          <w:p w14:paraId="44ED9CCC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69 (77.5)</w:t>
            </w:r>
          </w:p>
        </w:tc>
        <w:tc>
          <w:tcPr>
            <w:tcW w:w="1766" w:type="dxa"/>
          </w:tcPr>
          <w:p w14:paraId="6AA51327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74 (71.2)</w:t>
            </w:r>
          </w:p>
        </w:tc>
      </w:tr>
      <w:tr w:rsidR="007A5E44" w:rsidRPr="007A5E44" w14:paraId="68B12FE6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FD548A9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  <w:tc>
          <w:tcPr>
            <w:tcW w:w="1842" w:type="dxa"/>
          </w:tcPr>
          <w:p w14:paraId="34517E5F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3 (8.1)</w:t>
            </w:r>
          </w:p>
        </w:tc>
        <w:tc>
          <w:tcPr>
            <w:tcW w:w="1985" w:type="dxa"/>
          </w:tcPr>
          <w:p w14:paraId="3569C978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9 (10.3)</w:t>
            </w:r>
          </w:p>
        </w:tc>
        <w:tc>
          <w:tcPr>
            <w:tcW w:w="1910" w:type="dxa"/>
          </w:tcPr>
          <w:p w14:paraId="3662DAF5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12 (11.1)</w:t>
            </w:r>
          </w:p>
        </w:tc>
        <w:tc>
          <w:tcPr>
            <w:tcW w:w="1634" w:type="dxa"/>
          </w:tcPr>
          <w:p w14:paraId="0976C518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 (5.9)</w:t>
            </w:r>
          </w:p>
        </w:tc>
        <w:tc>
          <w:tcPr>
            <w:tcW w:w="1559" w:type="dxa"/>
          </w:tcPr>
          <w:p w14:paraId="2C73E643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4 (4.5)</w:t>
            </w:r>
          </w:p>
        </w:tc>
        <w:tc>
          <w:tcPr>
            <w:tcW w:w="1766" w:type="dxa"/>
          </w:tcPr>
          <w:p w14:paraId="7555692F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17 (16.3)</w:t>
            </w:r>
          </w:p>
        </w:tc>
      </w:tr>
      <w:tr w:rsidR="007A5E44" w:rsidRPr="007A5E44" w14:paraId="55006BBF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0878642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Severe</w:t>
            </w:r>
          </w:p>
        </w:tc>
        <w:tc>
          <w:tcPr>
            <w:tcW w:w="1842" w:type="dxa"/>
          </w:tcPr>
          <w:p w14:paraId="1A368DE9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9EEE7E8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13 (14.9)</w:t>
            </w:r>
          </w:p>
        </w:tc>
        <w:tc>
          <w:tcPr>
            <w:tcW w:w="1910" w:type="dxa"/>
          </w:tcPr>
          <w:p w14:paraId="1D4374F8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16 (14.8)</w:t>
            </w:r>
          </w:p>
        </w:tc>
        <w:tc>
          <w:tcPr>
            <w:tcW w:w="1634" w:type="dxa"/>
          </w:tcPr>
          <w:p w14:paraId="3FEAFEB9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 (2.9)</w:t>
            </w:r>
          </w:p>
        </w:tc>
        <w:tc>
          <w:tcPr>
            <w:tcW w:w="1559" w:type="dxa"/>
          </w:tcPr>
          <w:p w14:paraId="353AD4A0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16 (18.0)</w:t>
            </w:r>
          </w:p>
        </w:tc>
        <w:tc>
          <w:tcPr>
            <w:tcW w:w="1766" w:type="dxa"/>
          </w:tcPr>
          <w:p w14:paraId="2CFBDAAA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13 (12.5)</w:t>
            </w:r>
          </w:p>
        </w:tc>
      </w:tr>
      <w:tr w:rsidR="007A5E44" w:rsidRPr="007A5E44" w14:paraId="6C9B5FA5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0C325CE0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Asymptomatic</w:t>
            </w:r>
          </w:p>
        </w:tc>
        <w:tc>
          <w:tcPr>
            <w:tcW w:w="1842" w:type="dxa"/>
          </w:tcPr>
          <w:p w14:paraId="0321B2BA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36 (97.3)</w:t>
            </w:r>
          </w:p>
        </w:tc>
        <w:tc>
          <w:tcPr>
            <w:tcW w:w="1985" w:type="dxa"/>
          </w:tcPr>
          <w:p w14:paraId="3ED249A2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76 (87.4)</w:t>
            </w:r>
          </w:p>
        </w:tc>
        <w:tc>
          <w:tcPr>
            <w:tcW w:w="1910" w:type="dxa"/>
          </w:tcPr>
          <w:p w14:paraId="245FB14F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97 (89.8)</w:t>
            </w:r>
          </w:p>
        </w:tc>
        <w:tc>
          <w:tcPr>
            <w:tcW w:w="1634" w:type="dxa"/>
          </w:tcPr>
          <w:p w14:paraId="0621EBEF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32 (94.1)</w:t>
            </w:r>
          </w:p>
        </w:tc>
        <w:tc>
          <w:tcPr>
            <w:tcW w:w="1559" w:type="dxa"/>
          </w:tcPr>
          <w:p w14:paraId="5E64E732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87 (97.8)</w:t>
            </w:r>
          </w:p>
        </w:tc>
        <w:tc>
          <w:tcPr>
            <w:tcW w:w="1766" w:type="dxa"/>
          </w:tcPr>
          <w:p w14:paraId="60064BEB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86 (82.7)</w:t>
            </w:r>
          </w:p>
        </w:tc>
      </w:tr>
      <w:tr w:rsidR="007A5E44" w:rsidRPr="007A5E44" w14:paraId="4EEF909C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FB11EA6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Symptomatic</w:t>
            </w:r>
          </w:p>
        </w:tc>
        <w:tc>
          <w:tcPr>
            <w:tcW w:w="1842" w:type="dxa"/>
          </w:tcPr>
          <w:p w14:paraId="68F19ABF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 (2.7)</w:t>
            </w:r>
          </w:p>
        </w:tc>
        <w:tc>
          <w:tcPr>
            <w:tcW w:w="1985" w:type="dxa"/>
          </w:tcPr>
          <w:p w14:paraId="17CA866D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11 (12.6)</w:t>
            </w:r>
          </w:p>
        </w:tc>
        <w:tc>
          <w:tcPr>
            <w:tcW w:w="1910" w:type="dxa"/>
          </w:tcPr>
          <w:p w14:paraId="4F93D2CC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11 (10.2)</w:t>
            </w:r>
          </w:p>
        </w:tc>
        <w:tc>
          <w:tcPr>
            <w:tcW w:w="1634" w:type="dxa"/>
          </w:tcPr>
          <w:p w14:paraId="750AB5B8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 (5.9)</w:t>
            </w:r>
          </w:p>
        </w:tc>
        <w:tc>
          <w:tcPr>
            <w:tcW w:w="1559" w:type="dxa"/>
          </w:tcPr>
          <w:p w14:paraId="36EA5D57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 (2.2)</w:t>
            </w:r>
          </w:p>
        </w:tc>
        <w:tc>
          <w:tcPr>
            <w:tcW w:w="1766" w:type="dxa"/>
          </w:tcPr>
          <w:p w14:paraId="580B9212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18 (17.3)</w:t>
            </w:r>
          </w:p>
        </w:tc>
      </w:tr>
      <w:tr w:rsidR="007A5E44" w:rsidRPr="007A5E44" w14:paraId="6C621111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78B82DE" w14:textId="77777777" w:rsidR="007A5E44" w:rsidRPr="007A5E44" w:rsidRDefault="007A5E44" w:rsidP="007A5E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ARIA-H superficial siderosis </w:t>
            </w:r>
          </w:p>
        </w:tc>
        <w:tc>
          <w:tcPr>
            <w:tcW w:w="1842" w:type="dxa"/>
          </w:tcPr>
          <w:p w14:paraId="1E286275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0E55D3E3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10" w:type="dxa"/>
          </w:tcPr>
          <w:p w14:paraId="0DAE537B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34" w:type="dxa"/>
          </w:tcPr>
          <w:p w14:paraId="73C54902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28EBBD2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66" w:type="dxa"/>
          </w:tcPr>
          <w:p w14:paraId="68C86F48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7A5E44" w:rsidRPr="007A5E44" w14:paraId="40A2C1A4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0935B94F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Mild</w:t>
            </w:r>
          </w:p>
        </w:tc>
        <w:tc>
          <w:tcPr>
            <w:tcW w:w="1842" w:type="dxa"/>
          </w:tcPr>
          <w:p w14:paraId="6D12B030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14 (100)</w:t>
            </w:r>
          </w:p>
        </w:tc>
        <w:tc>
          <w:tcPr>
            <w:tcW w:w="1985" w:type="dxa"/>
          </w:tcPr>
          <w:p w14:paraId="00FE0CE4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30 (57.7)</w:t>
            </w:r>
          </w:p>
        </w:tc>
        <w:tc>
          <w:tcPr>
            <w:tcW w:w="1910" w:type="dxa"/>
          </w:tcPr>
          <w:p w14:paraId="2D412639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38 (52.1)</w:t>
            </w:r>
          </w:p>
        </w:tc>
        <w:tc>
          <w:tcPr>
            <w:tcW w:w="1634" w:type="dxa"/>
          </w:tcPr>
          <w:p w14:paraId="376436AB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8 (80.0)</w:t>
            </w:r>
          </w:p>
        </w:tc>
        <w:tc>
          <w:tcPr>
            <w:tcW w:w="1559" w:type="dxa"/>
          </w:tcPr>
          <w:p w14:paraId="1A921AEC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28 (54.9)</w:t>
            </w:r>
          </w:p>
        </w:tc>
        <w:tc>
          <w:tcPr>
            <w:tcW w:w="1766" w:type="dxa"/>
          </w:tcPr>
          <w:p w14:paraId="721F94F7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41 (46.1)</w:t>
            </w:r>
          </w:p>
        </w:tc>
      </w:tr>
      <w:tr w:rsidR="007A5E44" w:rsidRPr="007A5E44" w14:paraId="2CC76FB7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3EEB786F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  <w:tc>
          <w:tcPr>
            <w:tcW w:w="1842" w:type="dxa"/>
          </w:tcPr>
          <w:p w14:paraId="6A781B94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CC6F421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12 (23.1)</w:t>
            </w:r>
          </w:p>
        </w:tc>
        <w:tc>
          <w:tcPr>
            <w:tcW w:w="1910" w:type="dxa"/>
          </w:tcPr>
          <w:p w14:paraId="17905707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21 (28.8)</w:t>
            </w:r>
          </w:p>
        </w:tc>
        <w:tc>
          <w:tcPr>
            <w:tcW w:w="1634" w:type="dxa"/>
          </w:tcPr>
          <w:p w14:paraId="1767747F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6ECF484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16 (31.4)</w:t>
            </w:r>
          </w:p>
        </w:tc>
        <w:tc>
          <w:tcPr>
            <w:tcW w:w="1766" w:type="dxa"/>
          </w:tcPr>
          <w:p w14:paraId="7B6D579F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26 (29.2)</w:t>
            </w:r>
          </w:p>
        </w:tc>
      </w:tr>
      <w:tr w:rsidR="007A5E44" w:rsidRPr="007A5E44" w14:paraId="18A79CAB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A158A2E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Severe</w:t>
            </w:r>
          </w:p>
        </w:tc>
        <w:tc>
          <w:tcPr>
            <w:tcW w:w="1842" w:type="dxa"/>
          </w:tcPr>
          <w:p w14:paraId="27630A96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D99EA58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10 (19.2)</w:t>
            </w:r>
          </w:p>
        </w:tc>
        <w:tc>
          <w:tcPr>
            <w:tcW w:w="1910" w:type="dxa"/>
          </w:tcPr>
          <w:p w14:paraId="34C0013E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14 (19.2)</w:t>
            </w:r>
          </w:p>
        </w:tc>
        <w:tc>
          <w:tcPr>
            <w:tcW w:w="1634" w:type="dxa"/>
          </w:tcPr>
          <w:p w14:paraId="44FC881B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2 (20.0)</w:t>
            </w:r>
          </w:p>
        </w:tc>
        <w:tc>
          <w:tcPr>
            <w:tcW w:w="1559" w:type="dxa"/>
          </w:tcPr>
          <w:p w14:paraId="26FE52D2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7 (13.7)</w:t>
            </w:r>
          </w:p>
        </w:tc>
        <w:tc>
          <w:tcPr>
            <w:tcW w:w="1766" w:type="dxa"/>
          </w:tcPr>
          <w:p w14:paraId="05BC020F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22 (24.7)</w:t>
            </w:r>
          </w:p>
        </w:tc>
      </w:tr>
      <w:tr w:rsidR="007A5E44" w:rsidRPr="007A5E44" w14:paraId="140CB359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1320DD5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Asymptomatic</w:t>
            </w:r>
          </w:p>
        </w:tc>
        <w:tc>
          <w:tcPr>
            <w:tcW w:w="1842" w:type="dxa"/>
          </w:tcPr>
          <w:p w14:paraId="284989AF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14 (100)</w:t>
            </w:r>
          </w:p>
        </w:tc>
        <w:tc>
          <w:tcPr>
            <w:tcW w:w="1985" w:type="dxa"/>
          </w:tcPr>
          <w:p w14:paraId="2833C83B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46 (88.5)</w:t>
            </w:r>
          </w:p>
        </w:tc>
        <w:tc>
          <w:tcPr>
            <w:tcW w:w="1910" w:type="dxa"/>
          </w:tcPr>
          <w:p w14:paraId="6595481D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64 (87.7)</w:t>
            </w:r>
          </w:p>
        </w:tc>
        <w:tc>
          <w:tcPr>
            <w:tcW w:w="1634" w:type="dxa"/>
          </w:tcPr>
          <w:p w14:paraId="2AFC61B8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10 (100)</w:t>
            </w:r>
          </w:p>
        </w:tc>
        <w:tc>
          <w:tcPr>
            <w:tcW w:w="1559" w:type="dxa"/>
          </w:tcPr>
          <w:p w14:paraId="2F3D99E0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44 (86.3)</w:t>
            </w:r>
          </w:p>
        </w:tc>
        <w:tc>
          <w:tcPr>
            <w:tcW w:w="1766" w:type="dxa"/>
          </w:tcPr>
          <w:p w14:paraId="6944EB88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72 (80.9)</w:t>
            </w:r>
          </w:p>
        </w:tc>
      </w:tr>
      <w:tr w:rsidR="007A5E44" w:rsidRPr="007A5E44" w14:paraId="5881CBE3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649293C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Symptomatic</w:t>
            </w:r>
          </w:p>
        </w:tc>
        <w:tc>
          <w:tcPr>
            <w:tcW w:w="1842" w:type="dxa"/>
          </w:tcPr>
          <w:p w14:paraId="7FBFBCB5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9B76AC1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6 (11.5)</w:t>
            </w:r>
          </w:p>
        </w:tc>
        <w:tc>
          <w:tcPr>
            <w:tcW w:w="1910" w:type="dxa"/>
          </w:tcPr>
          <w:p w14:paraId="0C8769D3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9 (12.3)</w:t>
            </w:r>
          </w:p>
        </w:tc>
        <w:tc>
          <w:tcPr>
            <w:tcW w:w="1634" w:type="dxa"/>
          </w:tcPr>
          <w:p w14:paraId="41F372EF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38D05E7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7 (13.7)</w:t>
            </w:r>
          </w:p>
        </w:tc>
        <w:tc>
          <w:tcPr>
            <w:tcW w:w="1766" w:type="dxa"/>
          </w:tcPr>
          <w:p w14:paraId="442848E8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17 (19.1)</w:t>
            </w:r>
          </w:p>
        </w:tc>
      </w:tr>
      <w:tr w:rsidR="007A5E44" w:rsidRPr="007A5E44" w14:paraId="0C8AA45B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</w:tcPr>
          <w:p w14:paraId="0677BAFB" w14:textId="77777777" w:rsidR="007A5E44" w:rsidRPr="007A5E44" w:rsidRDefault="007A5E44" w:rsidP="007A5E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44">
              <w:rPr>
                <w:rFonts w:ascii="Times New Roman" w:hAnsi="Times New Roman"/>
                <w:b/>
                <w:bCs/>
                <w:sz w:val="24"/>
                <w:szCs w:val="24"/>
              </w:rPr>
              <w:t>Symptoms during an ARIA event</w:t>
            </w:r>
          </w:p>
        </w:tc>
        <w:tc>
          <w:tcPr>
            <w:tcW w:w="1842" w:type="dxa"/>
          </w:tcPr>
          <w:p w14:paraId="3A4CD7CC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0FF71D2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38</w:t>
            </w:r>
          </w:p>
        </w:tc>
        <w:tc>
          <w:tcPr>
            <w:tcW w:w="1910" w:type="dxa"/>
          </w:tcPr>
          <w:p w14:paraId="52BE4E6B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45</w:t>
            </w:r>
          </w:p>
        </w:tc>
        <w:tc>
          <w:tcPr>
            <w:tcW w:w="1634" w:type="dxa"/>
          </w:tcPr>
          <w:p w14:paraId="69D3437F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8D15D2A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28</w:t>
            </w:r>
          </w:p>
        </w:tc>
        <w:tc>
          <w:tcPr>
            <w:tcW w:w="1766" w:type="dxa"/>
          </w:tcPr>
          <w:p w14:paraId="42F00207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65</w:t>
            </w:r>
          </w:p>
        </w:tc>
      </w:tr>
      <w:tr w:rsidR="007A5E44" w:rsidRPr="007A5E44" w14:paraId="7A7ABCB5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</w:tcPr>
          <w:p w14:paraId="3DCFFA6B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Mild</w:t>
            </w:r>
          </w:p>
        </w:tc>
        <w:tc>
          <w:tcPr>
            <w:tcW w:w="1842" w:type="dxa"/>
          </w:tcPr>
          <w:p w14:paraId="6EC6C006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 (50.0)</w:t>
            </w:r>
          </w:p>
        </w:tc>
        <w:tc>
          <w:tcPr>
            <w:tcW w:w="1985" w:type="dxa"/>
          </w:tcPr>
          <w:p w14:paraId="59C18842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20 (52.6)</w:t>
            </w:r>
          </w:p>
        </w:tc>
        <w:tc>
          <w:tcPr>
            <w:tcW w:w="1910" w:type="dxa"/>
          </w:tcPr>
          <w:p w14:paraId="70954356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26 (57.8)</w:t>
            </w:r>
          </w:p>
        </w:tc>
        <w:tc>
          <w:tcPr>
            <w:tcW w:w="1634" w:type="dxa"/>
          </w:tcPr>
          <w:p w14:paraId="294521A5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 (3.6)</w:t>
            </w:r>
          </w:p>
        </w:tc>
        <w:tc>
          <w:tcPr>
            <w:tcW w:w="1559" w:type="dxa"/>
          </w:tcPr>
          <w:p w14:paraId="5C2883E4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20 (11.7)</w:t>
            </w:r>
          </w:p>
        </w:tc>
        <w:tc>
          <w:tcPr>
            <w:tcW w:w="1766" w:type="dxa"/>
          </w:tcPr>
          <w:p w14:paraId="1958B093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46 (20.4)</w:t>
            </w:r>
          </w:p>
        </w:tc>
      </w:tr>
      <w:tr w:rsidR="007A5E44" w:rsidRPr="007A5E44" w14:paraId="5039466B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</w:tcPr>
          <w:p w14:paraId="51A66CA1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Moderate</w:t>
            </w:r>
          </w:p>
        </w:tc>
        <w:tc>
          <w:tcPr>
            <w:tcW w:w="1842" w:type="dxa"/>
          </w:tcPr>
          <w:p w14:paraId="78A24682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477EA42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13 (34.2)</w:t>
            </w:r>
          </w:p>
        </w:tc>
        <w:tc>
          <w:tcPr>
            <w:tcW w:w="1910" w:type="dxa"/>
          </w:tcPr>
          <w:p w14:paraId="0762915D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12 (26.7)</w:t>
            </w:r>
          </w:p>
        </w:tc>
        <w:tc>
          <w:tcPr>
            <w:tcW w:w="1634" w:type="dxa"/>
          </w:tcPr>
          <w:p w14:paraId="6B6F56C7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 (1.8)</w:t>
            </w:r>
          </w:p>
        </w:tc>
        <w:tc>
          <w:tcPr>
            <w:tcW w:w="1559" w:type="dxa"/>
          </w:tcPr>
          <w:p w14:paraId="296100C3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5 (2.9)</w:t>
            </w:r>
          </w:p>
        </w:tc>
        <w:tc>
          <w:tcPr>
            <w:tcW w:w="1766" w:type="dxa"/>
          </w:tcPr>
          <w:p w14:paraId="0967050C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17 (7.5)</w:t>
            </w:r>
          </w:p>
        </w:tc>
      </w:tr>
      <w:tr w:rsidR="007A5E44" w:rsidRPr="007A5E44" w14:paraId="0840651E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</w:tcPr>
          <w:p w14:paraId="404F6564" w14:textId="77777777" w:rsidR="007A5E44" w:rsidRPr="007A5E44" w:rsidRDefault="007A5E44" w:rsidP="007A5E4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Severe</w:t>
            </w:r>
          </w:p>
        </w:tc>
        <w:tc>
          <w:tcPr>
            <w:tcW w:w="1842" w:type="dxa"/>
          </w:tcPr>
          <w:p w14:paraId="40F18418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 (50.0)</w:t>
            </w:r>
          </w:p>
        </w:tc>
        <w:tc>
          <w:tcPr>
            <w:tcW w:w="1985" w:type="dxa"/>
          </w:tcPr>
          <w:p w14:paraId="0C657399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3 (7.9)</w:t>
            </w:r>
          </w:p>
        </w:tc>
        <w:tc>
          <w:tcPr>
            <w:tcW w:w="1910" w:type="dxa"/>
          </w:tcPr>
          <w:p w14:paraId="2B10771F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3 (6.7)</w:t>
            </w:r>
          </w:p>
        </w:tc>
        <w:tc>
          <w:tcPr>
            <w:tcW w:w="1634" w:type="dxa"/>
          </w:tcPr>
          <w:p w14:paraId="31B69F21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60377AD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 (1.2)</w:t>
            </w:r>
          </w:p>
        </w:tc>
        <w:tc>
          <w:tcPr>
            <w:tcW w:w="1766" w:type="dxa"/>
          </w:tcPr>
          <w:p w14:paraId="0E12F4A7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 (0.9)</w:t>
            </w:r>
          </w:p>
        </w:tc>
      </w:tr>
      <w:tr w:rsidR="007A5E44" w:rsidRPr="007A5E44" w14:paraId="6BDAF6A7" w14:textId="77777777" w:rsidTr="00E964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</w:tcPr>
          <w:p w14:paraId="2973D716" w14:textId="77777777" w:rsidR="007A5E44" w:rsidRPr="007A5E44" w:rsidRDefault="007A5E44" w:rsidP="007A5E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Serious ARIA </w:t>
            </w:r>
          </w:p>
        </w:tc>
        <w:tc>
          <w:tcPr>
            <w:tcW w:w="1842" w:type="dxa"/>
          </w:tcPr>
          <w:p w14:paraId="5C0F40C1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1 (0.2)</w:t>
            </w:r>
          </w:p>
        </w:tc>
        <w:tc>
          <w:tcPr>
            <w:tcW w:w="1985" w:type="dxa"/>
          </w:tcPr>
          <w:p w14:paraId="50341D2E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5 (0.9)</w:t>
            </w:r>
          </w:p>
        </w:tc>
        <w:tc>
          <w:tcPr>
            <w:tcW w:w="1910" w:type="dxa"/>
          </w:tcPr>
          <w:p w14:paraId="7A504B38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8 (1.5)</w:t>
            </w:r>
          </w:p>
        </w:tc>
        <w:tc>
          <w:tcPr>
            <w:tcW w:w="1634" w:type="dxa"/>
          </w:tcPr>
          <w:p w14:paraId="7562978E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hAnsi="Times New Roman"/>
                <w:sz w:val="24"/>
                <w:szCs w:val="24"/>
              </w:rPr>
              <w:t>1 (0.2)</w:t>
            </w:r>
          </w:p>
        </w:tc>
        <w:tc>
          <w:tcPr>
            <w:tcW w:w="1559" w:type="dxa"/>
          </w:tcPr>
          <w:p w14:paraId="625D184C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2 (0.4)</w:t>
            </w:r>
          </w:p>
        </w:tc>
        <w:tc>
          <w:tcPr>
            <w:tcW w:w="1766" w:type="dxa"/>
          </w:tcPr>
          <w:p w14:paraId="287A033D" w14:textId="77777777" w:rsidR="007A5E44" w:rsidRPr="007A5E44" w:rsidRDefault="007A5E44" w:rsidP="007A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A5E44">
              <w:rPr>
                <w:rFonts w:ascii="Times New Roman" w:eastAsia="MS Mincho" w:hAnsi="Times New Roman"/>
                <w:sz w:val="24"/>
                <w:szCs w:val="24"/>
              </w:rPr>
              <w:t>8 (1.4)</w:t>
            </w:r>
          </w:p>
        </w:tc>
      </w:tr>
    </w:tbl>
    <w:p w14:paraId="4A35470C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sz w:val="24"/>
          <w:szCs w:val="24"/>
          <w:lang w:val="en-GB"/>
        </w:rPr>
        <w:t>ARIA, amyloid-related imaging abnormalities.</w:t>
      </w:r>
    </w:p>
    <w:p w14:paraId="78F3843A" w14:textId="77777777" w:rsidR="007A5E44" w:rsidRPr="007A5E44" w:rsidRDefault="007A5E44" w:rsidP="007A5E4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 w:type="page"/>
      </w:r>
    </w:p>
    <w:p w14:paraId="3124A25A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>Table S3. Change from baseline in CDR-SB at week 78: with and without post-ARIA observations</w:t>
      </w:r>
    </w:p>
    <w:p w14:paraId="65752525" w14:textId="77777777" w:rsidR="007A5E44" w:rsidRPr="007A5E44" w:rsidRDefault="007A5E44" w:rsidP="007A5E44">
      <w:pPr>
        <w:numPr>
          <w:ilvl w:val="3"/>
          <w:numId w:val="0"/>
        </w:num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drawing>
          <wp:inline distT="0" distB="0" distL="0" distR="0" wp14:anchorId="0600E830" wp14:editId="6BD8239F">
            <wp:extent cx="8446983" cy="3720465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194" cy="3723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EDD19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6D14EE0F" w14:textId="77777777" w:rsidR="007A5E44" w:rsidRPr="007A5E44" w:rsidRDefault="007A5E44" w:rsidP="007A5E4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A5E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 analyses were performed in the ITT population. A mixed model for repeated measures was used to assess CDR-SB scores, with fixed effects of treatment, categorical visit, treatment-by-visit interaction, baseline score, baseline score–by-visit interaction, baseline MMSE score (same as baseline score in the MMSE model), Alzheimer disease symptomatic medication use at baseline, region, and ApoE ε4 status (carrier and noncarrier). </w:t>
      </w:r>
    </w:p>
    <w:p w14:paraId="56FD9774" w14:textId="77777777" w:rsidR="007A5E44" w:rsidRPr="007A5E44" w:rsidRDefault="007A5E44" w:rsidP="007A5E4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A5E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ApoE, apolipoprotein E; ARIA, amyloid-related imaging abnormalities; CDR-SB, Clinical Dementia Rating Scale–Sum of Boxes; ITT, intent to treat; MMSE, Mini-Mental State Examination.</w:t>
      </w:r>
    </w:p>
    <w:p w14:paraId="59A82D75" w14:textId="77777777" w:rsidR="007A5E44" w:rsidRPr="007A5E44" w:rsidRDefault="007A5E44" w:rsidP="007A5E44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GB" w:eastAsia="en-GB"/>
        </w:rPr>
      </w:pPr>
      <w:r w:rsidRPr="007A5E4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 w:eastAsia="en-GB"/>
        </w:rPr>
        <w:t>a</w:t>
      </w:r>
      <w:r w:rsidRPr="007A5E44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Difference vs placebo at week 78. Negative percentage means less progression in the treated arm.</w:t>
      </w:r>
    </w:p>
    <w:p w14:paraId="23E4C60F" w14:textId="77777777" w:rsidR="007A5E44" w:rsidRPr="007A5E44" w:rsidRDefault="007A5E44" w:rsidP="007A5E44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GB" w:eastAsia="en-GB"/>
        </w:rPr>
      </w:pPr>
    </w:p>
    <w:p w14:paraId="1A8EFE26" w14:textId="77777777" w:rsidR="007A5E44" w:rsidRPr="007A5E44" w:rsidRDefault="007A5E44" w:rsidP="007A5E44">
      <w:pPr>
        <w:spacing w:line="480" w:lineRule="auto"/>
        <w:rPr>
          <w:rFonts w:ascii="Times New Roman" w:eastAsia="SimSun" w:hAnsi="Times New Roman" w:cs="Times New Roman"/>
          <w:sz w:val="24"/>
          <w:szCs w:val="24"/>
          <w:lang w:val="en-GB" w:eastAsia="en-GB"/>
        </w:rPr>
      </w:pPr>
      <w:r w:rsidRPr="007A5E44">
        <w:rPr>
          <w:rFonts w:ascii="Times New Roman" w:eastAsia="SimSun" w:hAnsi="Times New Roman" w:cs="Times New Roman"/>
          <w:sz w:val="24"/>
          <w:szCs w:val="24"/>
          <w:lang w:val="en-GB" w:eastAsia="en-GB"/>
        </w:rPr>
        <w:br w:type="page"/>
      </w:r>
    </w:p>
    <w:p w14:paraId="7AB8C354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>Table S4. Summary of patients with CDR-SB change from baseline at week 78 &gt; 8</w:t>
      </w:r>
    </w:p>
    <w:tbl>
      <w:tblPr>
        <w:tblW w:w="135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59"/>
        <w:gridCol w:w="1105"/>
        <w:gridCol w:w="1104"/>
        <w:gridCol w:w="1105"/>
        <w:gridCol w:w="1105"/>
        <w:gridCol w:w="1101"/>
        <w:gridCol w:w="1105"/>
        <w:gridCol w:w="1104"/>
        <w:gridCol w:w="1105"/>
        <w:gridCol w:w="1105"/>
      </w:tblGrid>
      <w:tr w:rsidR="007A5E44" w:rsidRPr="007A5E44" w14:paraId="3188490C" w14:textId="77777777" w:rsidTr="00E964E0">
        <w:trPr>
          <w:trHeight w:val="402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  <w:hideMark/>
          </w:tcPr>
          <w:p w14:paraId="1D2A7151" w14:textId="77777777" w:rsidR="007A5E44" w:rsidRPr="007A5E44" w:rsidRDefault="007A5E44" w:rsidP="007A5E44">
            <w:pPr>
              <w:spacing w:after="0" w:line="480" w:lineRule="auto"/>
              <w:ind w:firstLine="86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Arial"/>
                <w:b/>
                <w:bCs/>
                <w:color w:val="070809"/>
                <w:kern w:val="24"/>
                <w:sz w:val="20"/>
                <w:szCs w:val="20"/>
                <w:lang w:val="en-GB"/>
              </w:rPr>
              <w:t xml:space="preserve">CDR-SB change at Week 78 &gt; 8, </w:t>
            </w:r>
          </w:p>
          <w:p w14:paraId="0049F763" w14:textId="77777777" w:rsidR="007A5E44" w:rsidRPr="007A5E44" w:rsidRDefault="007A5E44" w:rsidP="007A5E44">
            <w:pPr>
              <w:spacing w:after="0" w:line="480" w:lineRule="auto"/>
              <w:ind w:firstLine="86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Arial"/>
                <w:b/>
                <w:bCs/>
                <w:color w:val="070809"/>
                <w:kern w:val="24"/>
                <w:sz w:val="20"/>
                <w:szCs w:val="20"/>
                <w:lang w:val="en-GB"/>
              </w:rPr>
              <w:t>no of patients (%)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0A444F7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EMERGE (ITT)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8F693D2" w14:textId="77777777" w:rsidR="007A5E44" w:rsidRPr="007A5E44" w:rsidRDefault="007A5E44" w:rsidP="007A5E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691AA38" w14:textId="77777777" w:rsidR="007A5E44" w:rsidRPr="007A5E44" w:rsidRDefault="007A5E44" w:rsidP="007A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D3BF265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ENGAGE (ITT)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7F7F7F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FCEF48B" w14:textId="77777777" w:rsidR="007A5E44" w:rsidRPr="007A5E44" w:rsidRDefault="007A5E44" w:rsidP="007A5E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A5E44" w:rsidRPr="007A5E44" w14:paraId="337FEE07" w14:textId="77777777" w:rsidTr="00E964E0">
        <w:trPr>
          <w:trHeight w:val="1337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670EF3" w14:textId="77777777" w:rsidR="007A5E44" w:rsidRPr="007A5E44" w:rsidRDefault="007A5E44" w:rsidP="007A5E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0B565F5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Placebo</w:t>
            </w:r>
            <w:r w:rsidRPr="007A5E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Pr="007A5E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(n=548)</w:t>
            </w:r>
          </w:p>
        </w:tc>
        <w:tc>
          <w:tcPr>
            <w:tcW w:w="1104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A152E24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Low dose</w:t>
            </w:r>
            <w:r w:rsidRPr="007A5E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Pr="007A5E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(n=543)</w:t>
            </w:r>
          </w:p>
        </w:tc>
        <w:tc>
          <w:tcPr>
            <w:tcW w:w="1105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997CF27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High dose</w:t>
            </w:r>
          </w:p>
          <w:p w14:paraId="0FF2EE3A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GB"/>
              </w:rPr>
              <w:t>(n=547)</w:t>
            </w:r>
          </w:p>
        </w:tc>
        <w:tc>
          <w:tcPr>
            <w:tcW w:w="1105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5A9DF7D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Total</w:t>
            </w:r>
          </w:p>
          <w:p w14:paraId="10EFB600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(n=1638)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725CD94" w14:textId="77777777" w:rsidR="007A5E44" w:rsidRPr="007A5E44" w:rsidRDefault="007A5E44" w:rsidP="007A5E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04C8DB7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Placebo</w:t>
            </w:r>
            <w:r w:rsidRPr="007A5E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Pr="007A5E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(n=545)</w:t>
            </w:r>
          </w:p>
        </w:tc>
        <w:tc>
          <w:tcPr>
            <w:tcW w:w="1104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3E59558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Low dose</w:t>
            </w:r>
            <w:r w:rsidRPr="007A5E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Pr="007A5E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(n=547)</w:t>
            </w:r>
          </w:p>
        </w:tc>
        <w:tc>
          <w:tcPr>
            <w:tcW w:w="1105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99F5870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High dose</w:t>
            </w:r>
          </w:p>
          <w:p w14:paraId="0110AA1E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GB"/>
              </w:rPr>
              <w:t>(n=555)</w:t>
            </w:r>
          </w:p>
        </w:tc>
        <w:tc>
          <w:tcPr>
            <w:tcW w:w="1105" w:type="dxa"/>
            <w:tcBorders>
              <w:top w:val="single" w:sz="8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75AE3D0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Total</w:t>
            </w:r>
          </w:p>
          <w:p w14:paraId="74E29520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(n=1647)</w:t>
            </w:r>
          </w:p>
        </w:tc>
      </w:tr>
      <w:tr w:rsidR="007A5E44" w:rsidRPr="007A5E44" w14:paraId="5442A4FF" w14:textId="77777777" w:rsidTr="00E964E0">
        <w:trPr>
          <w:trHeight w:val="40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DDB50B1" w14:textId="77777777" w:rsidR="007A5E44" w:rsidRPr="007A5E44" w:rsidRDefault="007A5E44" w:rsidP="007A5E44">
            <w:pPr>
              <w:spacing w:after="0" w:line="480" w:lineRule="auto"/>
              <w:ind w:firstLine="86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Total population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1B38172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 (1.4)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E79E8E1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 (1.4)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5E7B9F4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 (1.7)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5D5CB03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13 (1.5)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5DA1839" w14:textId="77777777" w:rsidR="007A5E44" w:rsidRPr="007A5E44" w:rsidRDefault="007A5E44" w:rsidP="007A5E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  <w:hideMark/>
          </w:tcPr>
          <w:p w14:paraId="1ADFE5ED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 (1.2)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  <w:hideMark/>
          </w:tcPr>
          <w:p w14:paraId="1A8476D0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 (1.5)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  <w:hideMark/>
          </w:tcPr>
          <w:p w14:paraId="66CEC880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9 (1.3)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  <w:hideMark/>
          </w:tcPr>
          <w:p w14:paraId="25EEC685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18 (1.9)</w:t>
            </w:r>
          </w:p>
        </w:tc>
      </w:tr>
      <w:tr w:rsidR="007A5E44" w:rsidRPr="007A5E44" w14:paraId="4344E462" w14:textId="77777777" w:rsidTr="00E964E0">
        <w:trPr>
          <w:trHeight w:val="40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BC0ABD2" w14:textId="77777777" w:rsidR="007A5E44" w:rsidRPr="007A5E44" w:rsidRDefault="007A5E44" w:rsidP="007A5E44">
            <w:pPr>
              <w:spacing w:after="0" w:line="480" w:lineRule="auto"/>
              <w:ind w:left="720" w:firstLine="86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Arial"/>
                <w:color w:val="070809"/>
                <w:kern w:val="24"/>
                <w:sz w:val="20"/>
                <w:szCs w:val="20"/>
                <w:lang w:val="en-GB"/>
              </w:rPr>
              <w:t>PV4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98C6151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 (2.5)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97E4BF3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D3475DA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09A1E77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 (1.6)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38F6EDC" w14:textId="77777777" w:rsidR="007A5E44" w:rsidRPr="007A5E44" w:rsidRDefault="007A5E44" w:rsidP="007A5E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  <w:hideMark/>
          </w:tcPr>
          <w:p w14:paraId="309CA72B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 (2.9)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  <w:hideMark/>
          </w:tcPr>
          <w:p w14:paraId="04C5EDC6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 (1.2)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  <w:hideMark/>
          </w:tcPr>
          <w:p w14:paraId="383F6D8B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  <w:hideMark/>
          </w:tcPr>
          <w:p w14:paraId="745A3234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 (1.3)</w:t>
            </w:r>
          </w:p>
        </w:tc>
      </w:tr>
      <w:tr w:rsidR="007A5E44" w:rsidRPr="007A5E44" w14:paraId="23D7318F" w14:textId="77777777" w:rsidTr="00E964E0">
        <w:trPr>
          <w:trHeight w:val="28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4FA683B" w14:textId="77777777" w:rsidR="007A5E44" w:rsidRPr="007A5E44" w:rsidRDefault="007A5E44" w:rsidP="007A5E44">
            <w:pPr>
              <w:spacing w:after="0" w:line="480" w:lineRule="auto"/>
              <w:ind w:left="720" w:firstLine="86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Pre-PV4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57D7719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 (1.0)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94EE7DA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 (1.4)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3217401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 (1.9)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56C3416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9 (1.4)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3171539" w14:textId="77777777" w:rsidR="007A5E44" w:rsidRPr="007A5E44" w:rsidRDefault="007A5E44" w:rsidP="007A5E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  <w:hideMark/>
          </w:tcPr>
          <w:p w14:paraId="2795EE65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 (0.8)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  <w:hideMark/>
          </w:tcPr>
          <w:p w14:paraId="3DE7657F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 (1.6)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  <w:hideMark/>
          </w:tcPr>
          <w:p w14:paraId="712D8A95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9 (4.1)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  <w:hideMark/>
          </w:tcPr>
          <w:p w14:paraId="7B2A60F9" w14:textId="77777777" w:rsidR="007A5E44" w:rsidRPr="007A5E44" w:rsidRDefault="007A5E44" w:rsidP="007A5E44">
            <w:pPr>
              <w:spacing w:after="0" w:line="48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A5E4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15 (2.0)</w:t>
            </w:r>
          </w:p>
        </w:tc>
      </w:tr>
    </w:tbl>
    <w:p w14:paraId="11951398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F1D5D20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PV4 = patients with opportunity to receive all 14 doses of 10 mg/kg; pre-PV4 = patients without opportunity to receive all 14 doses of 10 mg/kg.    </w:t>
      </w:r>
    </w:p>
    <w:p w14:paraId="448A633A" w14:textId="77777777" w:rsidR="007A5E44" w:rsidRPr="007A5E44" w:rsidRDefault="007A5E44" w:rsidP="007A5E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A5E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CDR-SB, Clinical Dementia Rating Scale–Sum of Boxes; ITT, intent to treat.                                          </w:t>
      </w:r>
    </w:p>
    <w:p w14:paraId="0C0D704E" w14:textId="77777777" w:rsidR="007A5E44" w:rsidRPr="007A5E44" w:rsidRDefault="007A5E44" w:rsidP="007A5E44">
      <w:pPr>
        <w:spacing w:after="0" w:line="240" w:lineRule="auto"/>
        <w:ind w:left="720" w:hanging="720"/>
        <w:rPr>
          <w:rFonts w:ascii="Times New Roman" w:eastAsia="Times New Roman" w:hAnsi="Times New Roman" w:cs="Arial"/>
          <w:noProof/>
          <w:sz w:val="24"/>
          <w:szCs w:val="24"/>
          <w:lang w:val="en-GB" w:eastAsia="en-GB"/>
        </w:rPr>
      </w:pPr>
      <w:r w:rsidRPr="007A5E44">
        <w:rPr>
          <w:rFonts w:ascii="Times New Roman" w:eastAsia="Times New Roman" w:hAnsi="Times New Roman" w:cs="Arial"/>
          <w:noProof/>
          <w:sz w:val="24"/>
          <w:szCs w:val="24"/>
          <w:lang w:val="en-GB" w:eastAsia="en-GB"/>
        </w:rPr>
        <w:fldChar w:fldCharType="begin"/>
      </w:r>
      <w:r w:rsidRPr="007A5E44">
        <w:rPr>
          <w:rFonts w:ascii="Times New Roman" w:eastAsia="Times New Roman" w:hAnsi="Times New Roman" w:cs="Arial"/>
          <w:noProof/>
          <w:sz w:val="24"/>
          <w:szCs w:val="24"/>
          <w:lang w:val="en-GB" w:eastAsia="en-GB"/>
        </w:rPr>
        <w:instrText xml:space="preserve"> ADDIN EN.REFLIST </w:instrText>
      </w:r>
      <w:r w:rsidRPr="007A5E44">
        <w:rPr>
          <w:rFonts w:ascii="Times New Roman" w:eastAsia="Times New Roman" w:hAnsi="Times New Roman" w:cs="Arial"/>
          <w:noProof/>
          <w:sz w:val="24"/>
          <w:szCs w:val="24"/>
          <w:lang w:val="en-GB" w:eastAsia="en-GB"/>
        </w:rPr>
        <w:fldChar w:fldCharType="end"/>
      </w:r>
    </w:p>
    <w:p w14:paraId="5A5E2D07" w14:textId="77777777" w:rsidR="001B4ABF" w:rsidRDefault="00000000"/>
    <w:sectPr w:rsidR="001B4ABF" w:rsidSect="00431B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673"/>
    <w:multiLevelType w:val="multilevel"/>
    <w:tmpl w:val="143A40E2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sz w:val="22"/>
        <w:szCs w:val="22"/>
      </w:rPr>
    </w:lvl>
    <w:lvl w:ilvl="1">
      <w:start w:val="1"/>
      <w:numFmt w:val="bullet"/>
      <w:lvlRestart w:val="0"/>
      <w:pStyle w:val="Bulletlevel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Restart w:val="0"/>
      <w:pStyle w:val="Bulletlevel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Bulletlevel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1" w15:restartNumberingAfterBreak="0">
    <w:nsid w:val="65025C4A"/>
    <w:multiLevelType w:val="multilevel"/>
    <w:tmpl w:val="143A40E2"/>
    <w:numStyleLink w:val="Bulletlist"/>
  </w:abstractNum>
  <w:num w:numId="1" w16cid:durableId="1874420056">
    <w:abstractNumId w:val="0"/>
  </w:num>
  <w:num w:numId="2" w16cid:durableId="248193579">
    <w:abstractNumId w:val="1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Restart w:val="0"/>
        <w:pStyle w:val="Bulletlevel2"/>
        <w:lvlText w:val="–"/>
        <w:lvlJc w:val="left"/>
        <w:pPr>
          <w:tabs>
            <w:tab w:val="num" w:pos="567"/>
          </w:tabs>
          <w:ind w:left="567" w:hanging="283"/>
        </w:pPr>
        <w:rPr>
          <w:rFonts w:ascii="Arial" w:hAnsi="Arial" w:cs="Times New Roman" w:hint="default"/>
          <w:color w:val="auto"/>
          <w:sz w:val="22"/>
        </w:rPr>
      </w:lvl>
    </w:lvlOverride>
    <w:lvlOverride w:ilvl="2">
      <w:lvl w:ilvl="2">
        <w:start w:val="1"/>
        <w:numFmt w:val="decimal"/>
        <w:lvlRestart w:val="0"/>
        <w:pStyle w:val="Bulletlevel3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</w:rPr>
      </w:lvl>
    </w:lvlOverride>
    <w:lvlOverride w:ilvl="3">
      <w:lvl w:ilvl="3">
        <w:numFmt w:val="decimal"/>
        <w:pStyle w:val="Bulletlevel4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44"/>
    <w:rsid w:val="000D7784"/>
    <w:rsid w:val="004C32CB"/>
    <w:rsid w:val="007A0239"/>
    <w:rsid w:val="007A5E44"/>
    <w:rsid w:val="00A706C9"/>
    <w:rsid w:val="00BB4487"/>
    <w:rsid w:val="00C123AE"/>
    <w:rsid w:val="00D85471"/>
    <w:rsid w:val="00F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03F2"/>
  <w15:chartTrackingRefBased/>
  <w15:docId w15:val="{7DA6436B-C1B2-4BD9-8EFC-AB515E6F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7A5E44"/>
    <w:pPr>
      <w:numPr>
        <w:numId w:val="1"/>
      </w:numPr>
    </w:pPr>
  </w:style>
  <w:style w:type="table" w:styleId="TableGrid">
    <w:name w:val="Table Grid"/>
    <w:basedOn w:val="TableNormal"/>
    <w:uiPriority w:val="39"/>
    <w:rsid w:val="007A5E44"/>
    <w:pPr>
      <w:spacing w:after="0" w:line="240" w:lineRule="auto"/>
    </w:pPr>
    <w:rPr>
      <w:rFonts w:ascii="Arial" w:eastAsia="Times New Roman" w:hAnsi="Arial" w:cs="Times New Roman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rPr>
      <w:jc w:val="center"/>
    </w:tr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Bulletlevel2">
    <w:name w:val="Bullet level 2"/>
    <w:basedOn w:val="Normal"/>
    <w:semiHidden/>
    <w:rsid w:val="007A5E44"/>
    <w:pPr>
      <w:numPr>
        <w:ilvl w:val="1"/>
        <w:numId w:val="2"/>
      </w:numPr>
      <w:tabs>
        <w:tab w:val="clear" w:pos="567"/>
        <w:tab w:val="num" w:pos="360"/>
      </w:tabs>
      <w:spacing w:after="0" w:line="360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Bulletlevel3">
    <w:name w:val="Bullet level 3"/>
    <w:basedOn w:val="Normal"/>
    <w:semiHidden/>
    <w:rsid w:val="007A5E44"/>
    <w:pPr>
      <w:numPr>
        <w:ilvl w:val="2"/>
        <w:numId w:val="2"/>
      </w:numPr>
      <w:tabs>
        <w:tab w:val="clear" w:pos="851"/>
        <w:tab w:val="num" w:pos="360"/>
      </w:tabs>
      <w:spacing w:after="0" w:line="36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ulletlevel4">
    <w:name w:val="Bullet level 4"/>
    <w:basedOn w:val="Normal"/>
    <w:semiHidden/>
    <w:rsid w:val="007A5E44"/>
    <w:pPr>
      <w:numPr>
        <w:ilvl w:val="3"/>
        <w:numId w:val="2"/>
      </w:numPr>
      <w:spacing w:after="0" w:line="360" w:lineRule="auto"/>
    </w:pPr>
    <w:rPr>
      <w:rFonts w:ascii="Arial" w:eastAsia="Times New Roman" w:hAnsi="Arial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7A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E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E4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0D7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0f3bfc5b-1213-47aa-8ff1-d9c769ffcf68" xsi:nil="true"/>
    <lcf76f155ced4ddcb4097134ff3c332f xmlns="0f3bfc5b-1213-47aa-8ff1-d9c769ffcf68">
      <Terms xmlns="http://schemas.microsoft.com/office/infopath/2007/PartnerControls"/>
    </lcf76f155ced4ddcb4097134ff3c332f>
    <TeamMember xmlns="0f3bfc5b-1213-47aa-8ff1-d9c769ffcf68">
      <UserInfo>
        <DisplayName/>
        <AccountId xsi:nil="true"/>
        <AccountType/>
      </UserInfo>
    </TeamMember>
    <TaxCatchAll xmlns="86056aa0-08ce-4241-8acb-e70cdce73fab" xsi:nil="true"/>
    <examplecolumn xmlns="0f3bfc5b-1213-47aa-8ff1-d9c769ffcf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168DA73E7D149A5C895091B8140E5" ma:contentTypeVersion="18" ma:contentTypeDescription="Create a new document." ma:contentTypeScope="" ma:versionID="6c3e1c8387e1f5d4fa602b46033e85b1">
  <xsd:schema xmlns:xsd="http://www.w3.org/2001/XMLSchema" xmlns:xs="http://www.w3.org/2001/XMLSchema" xmlns:p="http://schemas.microsoft.com/office/2006/metadata/properties" xmlns:ns2="0f3bfc5b-1213-47aa-8ff1-d9c769ffcf68" xmlns:ns3="86056aa0-08ce-4241-8acb-e70cdce73fab" targetNamespace="http://schemas.microsoft.com/office/2006/metadata/properties" ma:root="true" ma:fieldsID="52426be36c7525fb452c23d5f1d241ef" ns2:_="" ns3:_="">
    <xsd:import namespace="0f3bfc5b-1213-47aa-8ff1-d9c769ffcf68"/>
    <xsd:import namespace="86056aa0-08ce-4241-8acb-e70cdce73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eamMembe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examplecolumn" minOccurs="0"/>
                <xsd:element ref="ns2:Produ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bfc5b-1213-47aa-8ff1-d9c769ffc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Member" ma:index="12" nillable="true" ma:displayName="Team Member" ma:format="Dropdown" ma:list="UserInfo" ma:SharePointGroup="0" ma:internalName="TeamMemb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e86700-8264-4de9-99c9-62dd4952ae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xamplecolumn" ma:index="22" nillable="true" ma:displayName="Indication/TA" ma:format="Dropdown" ma:internalName="examplecolumn">
      <xsd:simpleType>
        <xsd:restriction base="dms:Choice">
          <xsd:enumeration value="MDD"/>
          <xsd:enumeration value="PPD"/>
          <xsd:enumeration value="MDD-PPD"/>
          <xsd:enumeration value="Choice 4"/>
        </xsd:restriction>
      </xsd:simpleType>
    </xsd:element>
    <xsd:element name="Product" ma:index="23" nillable="true" ma:displayName="Product" ma:format="Dropdown" ma:internalName="Product">
      <xsd:simpleType>
        <xsd:restriction base="dms:Choice">
          <xsd:enumeration value="A"/>
          <xsd:enumeration value="B"/>
          <xsd:enumeration value="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56aa0-08ce-4241-8acb-e70cdce73fa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57bf99f-d442-4d1b-a0ba-f0b3ec0b1787}" ma:internalName="TaxCatchAll" ma:showField="CatchAllData" ma:web="86056aa0-08ce-4241-8acb-e70cdce73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1B65C-8B1D-4F18-B0B3-F35995678467}">
  <ds:schemaRefs>
    <ds:schemaRef ds:uri="http://schemas.microsoft.com/office/2006/metadata/properties"/>
    <ds:schemaRef ds:uri="http://schemas.microsoft.com/office/infopath/2007/PartnerControls"/>
    <ds:schemaRef ds:uri="0f3bfc5b-1213-47aa-8ff1-d9c769ffcf68"/>
    <ds:schemaRef ds:uri="86056aa0-08ce-4241-8acb-e70cdce73fab"/>
  </ds:schemaRefs>
</ds:datastoreItem>
</file>

<file path=customXml/itemProps2.xml><?xml version="1.0" encoding="utf-8"?>
<ds:datastoreItem xmlns:ds="http://schemas.openxmlformats.org/officeDocument/2006/customXml" ds:itemID="{351B864E-07A2-41C7-A857-984026C53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4D170-753A-4D7C-99C9-89CF82625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bfc5b-1213-47aa-8ff1-d9c769ffcf68"/>
    <ds:schemaRef ds:uri="86056aa0-08ce-4241-8acb-e70cdce73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Allen, PhD (MTM)</dc:creator>
  <cp:keywords/>
  <dc:description/>
  <cp:lastModifiedBy>Megan Allen, PhD (MTM)</cp:lastModifiedBy>
  <cp:revision>2</cp:revision>
  <dcterms:created xsi:type="dcterms:W3CDTF">2023-01-03T14:15:00Z</dcterms:created>
  <dcterms:modified xsi:type="dcterms:W3CDTF">2023-01-03T14:15:00Z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0x010100BE7168DA73E7D149A5C895091B8140E5</vt:lpwstr>
  </property>
  <property fmtid="{D5CDD505-2E9C-101B-9397-08002B2CF9AE}" pid="3" name="MediaServiceImageTags">
    <vt:lpwstr/>
  </property>
</Properties>
</file>