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24B5" w14:textId="77777777" w:rsidR="0066044A" w:rsidRDefault="00C12641">
      <w:r>
        <w:t>Table S1. Baseline characteristics of participants in each individual dataset</w:t>
      </w:r>
    </w:p>
    <w:tbl>
      <w:tblPr>
        <w:tblW w:w="13110" w:type="dxa"/>
        <w:tblBorders>
          <w:top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90"/>
        <w:gridCol w:w="1515"/>
        <w:gridCol w:w="1470"/>
        <w:gridCol w:w="240"/>
        <w:gridCol w:w="1679"/>
        <w:gridCol w:w="1397"/>
        <w:gridCol w:w="240"/>
        <w:gridCol w:w="1470"/>
        <w:gridCol w:w="1350"/>
        <w:gridCol w:w="240"/>
        <w:gridCol w:w="1619"/>
      </w:tblGrid>
      <w:tr w:rsidR="0066044A" w14:paraId="793FF13D" w14:textId="77777777">
        <w:trPr>
          <w:trHeight w:val="420"/>
        </w:trPr>
        <w:tc>
          <w:tcPr>
            <w:tcW w:w="1890" w:type="dxa"/>
            <w:tcBorders>
              <w:top w:val="single" w:sz="8" w:space="0" w:color="000000"/>
            </w:tcBorders>
            <w:shd w:val="clear" w:color="auto" w:fill="auto"/>
          </w:tcPr>
          <w:p w14:paraId="6F140054" w14:textId="77777777" w:rsidR="0066044A" w:rsidRDefault="0066044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29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D88C7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Early AD</w:t>
            </w:r>
          </w:p>
        </w:tc>
        <w:tc>
          <w:tcPr>
            <w:tcW w:w="2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38553AA5" w14:textId="77777777" w:rsidR="0066044A" w:rsidRDefault="0066044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7ABA0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Presymptomatic</w:t>
            </w:r>
            <w:proofErr w:type="spellEnd"/>
          </w:p>
        </w:tc>
      </w:tr>
      <w:tr w:rsidR="0066044A" w14:paraId="14DADCFA" w14:textId="77777777">
        <w:trPr>
          <w:trHeight w:val="420"/>
        </w:trPr>
        <w:tc>
          <w:tcPr>
            <w:tcW w:w="1890" w:type="dxa"/>
            <w:shd w:val="clear" w:color="auto" w:fill="auto"/>
          </w:tcPr>
          <w:p w14:paraId="2516A261" w14:textId="77777777" w:rsidR="0066044A" w:rsidRDefault="0066044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02865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Discovery</w:t>
            </w:r>
          </w:p>
        </w:tc>
        <w:tc>
          <w:tcPr>
            <w:tcW w:w="2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33FA9DA2" w14:textId="77777777" w:rsidR="0066044A" w:rsidRDefault="0066044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E1BE8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Validation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710154C4" w14:textId="77777777" w:rsidR="0066044A" w:rsidRDefault="0066044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DD9F7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Discovery</w:t>
            </w:r>
          </w:p>
        </w:tc>
        <w:tc>
          <w:tcPr>
            <w:tcW w:w="239" w:type="dxa"/>
            <w:tcBorders>
              <w:top w:val="single" w:sz="8" w:space="0" w:color="000000"/>
            </w:tcBorders>
            <w:shd w:val="clear" w:color="auto" w:fill="auto"/>
          </w:tcPr>
          <w:p w14:paraId="233FAED3" w14:textId="77777777" w:rsidR="0066044A" w:rsidRDefault="0066044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D22A32D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Validation</w:t>
            </w:r>
          </w:p>
        </w:tc>
      </w:tr>
      <w:tr w:rsidR="0066044A" w14:paraId="67AA2D97" w14:textId="77777777">
        <w:tc>
          <w:tcPr>
            <w:tcW w:w="1890" w:type="dxa"/>
            <w:tcBorders>
              <w:bottom w:val="single" w:sz="8" w:space="0" w:color="000000"/>
            </w:tcBorders>
            <w:shd w:val="clear" w:color="auto" w:fill="auto"/>
          </w:tcPr>
          <w:p w14:paraId="2B5C1E51" w14:textId="77777777" w:rsidR="0066044A" w:rsidRDefault="0066044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3C572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ADNI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3BA6CDA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NACC</w:t>
            </w: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E90C7" w14:textId="77777777" w:rsidR="0066044A" w:rsidRDefault="0066044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51B3A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Phase 3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26080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PharmaCog</w:t>
            </w:r>
            <w:proofErr w:type="spellEnd"/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D05EF" w14:textId="77777777" w:rsidR="0066044A" w:rsidRDefault="0066044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99031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ADNI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F9D96FF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NACC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auto"/>
          </w:tcPr>
          <w:p w14:paraId="2BB67D65" w14:textId="77777777" w:rsidR="0066044A" w:rsidRDefault="0066044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2F54D7B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OASIS-3</w:t>
            </w:r>
          </w:p>
        </w:tc>
      </w:tr>
      <w:tr w:rsidR="0066044A" w14:paraId="6B002F7B" w14:textId="77777777">
        <w:trPr>
          <w:trHeight w:val="424"/>
        </w:trPr>
        <w:tc>
          <w:tcPr>
            <w:tcW w:w="1890" w:type="dxa"/>
            <w:tcBorders>
              <w:top w:val="single" w:sz="8" w:space="0" w:color="000000"/>
            </w:tcBorders>
            <w:shd w:val="clear" w:color="auto" w:fill="auto"/>
          </w:tcPr>
          <w:p w14:paraId="06A3E5C2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5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58B1E62B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</w:t>
            </w:r>
          </w:p>
        </w:tc>
        <w:tc>
          <w:tcPr>
            <w:tcW w:w="1470" w:type="dxa"/>
            <w:tcBorders>
              <w:top w:val="single" w:sz="8" w:space="0" w:color="000000"/>
            </w:tcBorders>
            <w:shd w:val="clear" w:color="auto" w:fill="auto"/>
          </w:tcPr>
          <w:p w14:paraId="3BD7DD48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2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6350EEF1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32EB80F2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3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FBEA540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1FD639DB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78764379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350" w:type="dxa"/>
            <w:tcBorders>
              <w:top w:val="single" w:sz="8" w:space="0" w:color="000000"/>
            </w:tcBorders>
            <w:shd w:val="clear" w:color="auto" w:fill="auto"/>
          </w:tcPr>
          <w:p w14:paraId="6C076CA5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auto"/>
          </w:tcPr>
          <w:p w14:paraId="73DFE129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8" w:space="0" w:color="000000"/>
            </w:tcBorders>
            <w:shd w:val="clear" w:color="auto" w:fill="auto"/>
          </w:tcPr>
          <w:p w14:paraId="6ECDDF66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</w:tr>
      <w:tr w:rsidR="0066044A" w14:paraId="5F180CBC" w14:textId="77777777">
        <w:trPr>
          <w:trHeight w:val="424"/>
        </w:trPr>
        <w:tc>
          <w:tcPr>
            <w:tcW w:w="1890" w:type="dxa"/>
            <w:shd w:val="clear" w:color="auto" w:fill="auto"/>
          </w:tcPr>
          <w:p w14:paraId="012A8363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Age, mean (std)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shd w:val="clear" w:color="auto" w:fill="auto"/>
          </w:tcPr>
          <w:p w14:paraId="56FF30A0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73.3 (7.6)</w:t>
            </w:r>
          </w:p>
        </w:tc>
        <w:tc>
          <w:tcPr>
            <w:tcW w:w="1470" w:type="dxa"/>
            <w:shd w:val="clear" w:color="auto" w:fill="auto"/>
          </w:tcPr>
          <w:p w14:paraId="16F944CB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72.7 (8.6)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73D0D671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shd w:val="clear" w:color="auto" w:fill="auto"/>
          </w:tcPr>
          <w:p w14:paraId="2DBF9DD2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 (7.9)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shd w:val="clear" w:color="auto" w:fill="auto"/>
          </w:tcPr>
          <w:p w14:paraId="2B164301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 (7.5)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10153C4E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auto"/>
          </w:tcPr>
          <w:p w14:paraId="19B745FE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 (5.6)</w:t>
            </w:r>
          </w:p>
        </w:tc>
        <w:tc>
          <w:tcPr>
            <w:tcW w:w="1350" w:type="dxa"/>
            <w:shd w:val="clear" w:color="auto" w:fill="auto"/>
          </w:tcPr>
          <w:p w14:paraId="2704E9F5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 (9.3)</w:t>
            </w:r>
          </w:p>
        </w:tc>
        <w:tc>
          <w:tcPr>
            <w:tcW w:w="240" w:type="dxa"/>
            <w:shd w:val="clear" w:color="auto" w:fill="auto"/>
          </w:tcPr>
          <w:p w14:paraId="029016D4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</w:tcPr>
          <w:p w14:paraId="6CC866AE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69.4 (5.4)</w:t>
            </w:r>
          </w:p>
        </w:tc>
      </w:tr>
      <w:tr w:rsidR="0066044A" w14:paraId="2B336CA8" w14:textId="77777777">
        <w:trPr>
          <w:trHeight w:val="420"/>
        </w:trPr>
        <w:tc>
          <w:tcPr>
            <w:tcW w:w="1890" w:type="dxa"/>
            <w:shd w:val="clear" w:color="auto" w:fill="auto"/>
          </w:tcPr>
          <w:p w14:paraId="38AD6BE1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 %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shd w:val="clear" w:color="auto" w:fill="auto"/>
          </w:tcPr>
          <w:p w14:paraId="70105992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41.6</w:t>
            </w:r>
          </w:p>
        </w:tc>
        <w:tc>
          <w:tcPr>
            <w:tcW w:w="1470" w:type="dxa"/>
            <w:shd w:val="clear" w:color="auto" w:fill="auto"/>
          </w:tcPr>
          <w:p w14:paraId="3E493724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19D538B9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shd w:val="clear" w:color="auto" w:fill="auto"/>
          </w:tcPr>
          <w:p w14:paraId="23EDC01D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shd w:val="clear" w:color="auto" w:fill="auto"/>
          </w:tcPr>
          <w:p w14:paraId="72EFE722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7882F1F1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auto"/>
          </w:tcPr>
          <w:p w14:paraId="5288AEA6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</w:t>
            </w:r>
          </w:p>
        </w:tc>
        <w:tc>
          <w:tcPr>
            <w:tcW w:w="1350" w:type="dxa"/>
            <w:shd w:val="clear" w:color="auto" w:fill="auto"/>
          </w:tcPr>
          <w:p w14:paraId="60A0F922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68.3</w:t>
            </w:r>
          </w:p>
        </w:tc>
        <w:tc>
          <w:tcPr>
            <w:tcW w:w="240" w:type="dxa"/>
            <w:shd w:val="clear" w:color="auto" w:fill="auto"/>
          </w:tcPr>
          <w:p w14:paraId="1A827D99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</w:tcPr>
          <w:p w14:paraId="1B190DCF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53.1</w:t>
            </w:r>
          </w:p>
        </w:tc>
      </w:tr>
      <w:tr w:rsidR="0066044A" w14:paraId="27DC48B8" w14:textId="77777777">
        <w:trPr>
          <w:trHeight w:val="420"/>
        </w:trPr>
        <w:tc>
          <w:tcPr>
            <w:tcW w:w="1890" w:type="dxa"/>
            <w:shd w:val="clear" w:color="auto" w:fill="auto"/>
          </w:tcPr>
          <w:p w14:paraId="6EDC342F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Education, mean (std)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shd w:val="clear" w:color="auto" w:fill="auto"/>
          </w:tcPr>
          <w:p w14:paraId="10CAD009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 (2.8)</w:t>
            </w:r>
          </w:p>
        </w:tc>
        <w:tc>
          <w:tcPr>
            <w:tcW w:w="1470" w:type="dxa"/>
            <w:shd w:val="clear" w:color="auto" w:fill="auto"/>
          </w:tcPr>
          <w:p w14:paraId="4F9B9E8B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 (3.4)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201E19F5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shd w:val="clear" w:color="auto" w:fill="auto"/>
          </w:tcPr>
          <w:p w14:paraId="3DD68F37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shd w:val="clear" w:color="auto" w:fill="auto"/>
          </w:tcPr>
          <w:p w14:paraId="6B410832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11.5 </w:t>
            </w:r>
            <w:r>
              <w:rPr>
                <w:sz w:val="16"/>
                <w:szCs w:val="16"/>
              </w:rPr>
              <w:t>(4.5)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38E4507D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auto"/>
          </w:tcPr>
          <w:p w14:paraId="29F09BA9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 (2.6)</w:t>
            </w:r>
          </w:p>
        </w:tc>
        <w:tc>
          <w:tcPr>
            <w:tcW w:w="1350" w:type="dxa"/>
            <w:shd w:val="clear" w:color="auto" w:fill="auto"/>
          </w:tcPr>
          <w:p w14:paraId="0E906A7B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 (2.9)</w:t>
            </w:r>
          </w:p>
        </w:tc>
        <w:tc>
          <w:tcPr>
            <w:tcW w:w="240" w:type="dxa"/>
            <w:shd w:val="clear" w:color="auto" w:fill="auto"/>
          </w:tcPr>
          <w:p w14:paraId="55519A1E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</w:tcPr>
          <w:p w14:paraId="36925BE6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 (2.4)</w:t>
            </w:r>
          </w:p>
        </w:tc>
      </w:tr>
      <w:tr w:rsidR="0066044A" w14:paraId="342BB157" w14:textId="77777777">
        <w:trPr>
          <w:trHeight w:val="420"/>
        </w:trPr>
        <w:tc>
          <w:tcPr>
            <w:tcW w:w="1890" w:type="dxa"/>
            <w:shd w:val="clear" w:color="auto" w:fill="auto"/>
          </w:tcPr>
          <w:p w14:paraId="48DE7D3B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APOE ε4 carriers %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shd w:val="clear" w:color="auto" w:fill="auto"/>
          </w:tcPr>
          <w:p w14:paraId="1A7717BA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</w:t>
            </w:r>
          </w:p>
        </w:tc>
        <w:tc>
          <w:tcPr>
            <w:tcW w:w="1470" w:type="dxa"/>
            <w:shd w:val="clear" w:color="auto" w:fill="auto"/>
          </w:tcPr>
          <w:p w14:paraId="65D6057F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5E9DCB8D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shd w:val="clear" w:color="auto" w:fill="auto"/>
          </w:tcPr>
          <w:p w14:paraId="6696C812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shd w:val="clear" w:color="auto" w:fill="auto"/>
          </w:tcPr>
          <w:p w14:paraId="4186514D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47.4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58E9CCFD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auto"/>
          </w:tcPr>
          <w:p w14:paraId="1C69F3D5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</w:t>
            </w:r>
          </w:p>
        </w:tc>
        <w:tc>
          <w:tcPr>
            <w:tcW w:w="1350" w:type="dxa"/>
            <w:shd w:val="clear" w:color="auto" w:fill="auto"/>
          </w:tcPr>
          <w:p w14:paraId="27BBF7C4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32.7</w:t>
            </w:r>
          </w:p>
        </w:tc>
        <w:tc>
          <w:tcPr>
            <w:tcW w:w="240" w:type="dxa"/>
            <w:shd w:val="clear" w:color="auto" w:fill="auto"/>
          </w:tcPr>
          <w:p w14:paraId="711CD552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</w:tcPr>
          <w:p w14:paraId="7A3090B0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</w:t>
            </w:r>
          </w:p>
        </w:tc>
      </w:tr>
      <w:tr w:rsidR="0066044A" w14:paraId="680E73B3" w14:textId="77777777">
        <w:trPr>
          <w:trHeight w:val="420"/>
        </w:trPr>
        <w:tc>
          <w:tcPr>
            <w:tcW w:w="1890" w:type="dxa"/>
            <w:shd w:val="clear" w:color="auto" w:fill="auto"/>
          </w:tcPr>
          <w:p w14:paraId="0B3F24C2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Baseline diagnosis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shd w:val="clear" w:color="auto" w:fill="auto"/>
          </w:tcPr>
          <w:p w14:paraId="1071EB44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</w:tcPr>
          <w:p w14:paraId="7D5B396F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2FB75E32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shd w:val="clear" w:color="auto" w:fill="auto"/>
          </w:tcPr>
          <w:p w14:paraId="28A57C35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right w:val="single" w:sz="8" w:space="0" w:color="000000"/>
            </w:tcBorders>
            <w:shd w:val="clear" w:color="auto" w:fill="auto"/>
          </w:tcPr>
          <w:p w14:paraId="6F9AC123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1EF04B49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auto"/>
          </w:tcPr>
          <w:p w14:paraId="0384F4D5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EB14388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14:paraId="11787C12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</w:tcPr>
          <w:p w14:paraId="563C72D7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44A" w14:paraId="41754B35" w14:textId="77777777">
        <w:trPr>
          <w:trHeight w:val="420"/>
        </w:trPr>
        <w:tc>
          <w:tcPr>
            <w:tcW w:w="1890" w:type="dxa"/>
            <w:shd w:val="clear" w:color="auto" w:fill="auto"/>
          </w:tcPr>
          <w:p w14:paraId="0D7992D1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CU %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shd w:val="clear" w:color="auto" w:fill="auto"/>
          </w:tcPr>
          <w:p w14:paraId="0C0207EA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470" w:type="dxa"/>
            <w:shd w:val="clear" w:color="auto" w:fill="auto"/>
          </w:tcPr>
          <w:p w14:paraId="44F64106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362952AE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shd w:val="clear" w:color="auto" w:fill="auto"/>
          </w:tcPr>
          <w:p w14:paraId="6A55AC55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shd w:val="clear" w:color="auto" w:fill="auto"/>
          </w:tcPr>
          <w:p w14:paraId="73C131E3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55A3B8B7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auto"/>
          </w:tcPr>
          <w:p w14:paraId="04F22A03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1350" w:type="dxa"/>
            <w:shd w:val="clear" w:color="auto" w:fill="auto"/>
          </w:tcPr>
          <w:p w14:paraId="59426D49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240" w:type="dxa"/>
            <w:shd w:val="clear" w:color="auto" w:fill="auto"/>
          </w:tcPr>
          <w:p w14:paraId="64676C33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</w:tcPr>
          <w:p w14:paraId="6EAEC2D5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66044A" w14:paraId="5B0FD6CC" w14:textId="77777777">
        <w:trPr>
          <w:trHeight w:val="420"/>
        </w:trPr>
        <w:tc>
          <w:tcPr>
            <w:tcW w:w="1890" w:type="dxa"/>
            <w:shd w:val="clear" w:color="auto" w:fill="auto"/>
          </w:tcPr>
          <w:p w14:paraId="4BD30466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MCI %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shd w:val="clear" w:color="auto" w:fill="auto"/>
          </w:tcPr>
          <w:p w14:paraId="795C9637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80.7</w:t>
            </w:r>
          </w:p>
        </w:tc>
        <w:tc>
          <w:tcPr>
            <w:tcW w:w="1470" w:type="dxa"/>
            <w:shd w:val="clear" w:color="auto" w:fill="auto"/>
          </w:tcPr>
          <w:p w14:paraId="6FFBC206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57.3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284F5EBC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shd w:val="clear" w:color="auto" w:fill="auto"/>
          </w:tcPr>
          <w:p w14:paraId="07F22432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shd w:val="clear" w:color="auto" w:fill="auto"/>
          </w:tcPr>
          <w:p w14:paraId="6F635A18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518432F1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auto"/>
          </w:tcPr>
          <w:p w14:paraId="57A33ADD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350" w:type="dxa"/>
            <w:shd w:val="clear" w:color="auto" w:fill="auto"/>
          </w:tcPr>
          <w:p w14:paraId="2C161F08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40" w:type="dxa"/>
            <w:shd w:val="clear" w:color="auto" w:fill="auto"/>
          </w:tcPr>
          <w:p w14:paraId="67B13B36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</w:tcPr>
          <w:p w14:paraId="1539877F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66044A" w14:paraId="74364B3D" w14:textId="77777777">
        <w:trPr>
          <w:trHeight w:val="424"/>
        </w:trPr>
        <w:tc>
          <w:tcPr>
            <w:tcW w:w="1890" w:type="dxa"/>
            <w:shd w:val="clear" w:color="auto" w:fill="auto"/>
          </w:tcPr>
          <w:p w14:paraId="09B02AC7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AD %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shd w:val="clear" w:color="auto" w:fill="auto"/>
          </w:tcPr>
          <w:p w14:paraId="4665BF87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</w:t>
            </w:r>
          </w:p>
        </w:tc>
        <w:tc>
          <w:tcPr>
            <w:tcW w:w="1470" w:type="dxa"/>
            <w:shd w:val="clear" w:color="auto" w:fill="auto"/>
          </w:tcPr>
          <w:p w14:paraId="48717077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42F45794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shd w:val="clear" w:color="auto" w:fill="auto"/>
          </w:tcPr>
          <w:p w14:paraId="32D09425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shd w:val="clear" w:color="auto" w:fill="auto"/>
          </w:tcPr>
          <w:p w14:paraId="06D01EF2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793FD2AC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auto"/>
          </w:tcPr>
          <w:p w14:paraId="2082097F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350" w:type="dxa"/>
            <w:shd w:val="clear" w:color="auto" w:fill="auto"/>
          </w:tcPr>
          <w:p w14:paraId="37B30E1A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40" w:type="dxa"/>
            <w:shd w:val="clear" w:color="auto" w:fill="auto"/>
          </w:tcPr>
          <w:p w14:paraId="6B30C16D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</w:tcPr>
          <w:p w14:paraId="48796576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66044A" w14:paraId="7661083D" w14:textId="77777777">
        <w:trPr>
          <w:trHeight w:val="420"/>
        </w:trPr>
        <w:tc>
          <w:tcPr>
            <w:tcW w:w="1890" w:type="dxa"/>
            <w:shd w:val="clear" w:color="auto" w:fill="auto"/>
          </w:tcPr>
          <w:p w14:paraId="61F14829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MMSE, mean (std)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shd w:val="clear" w:color="auto" w:fill="auto"/>
          </w:tcPr>
          <w:p w14:paraId="006A4768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 (2.5)</w:t>
            </w:r>
          </w:p>
        </w:tc>
        <w:tc>
          <w:tcPr>
            <w:tcW w:w="1470" w:type="dxa"/>
            <w:shd w:val="clear" w:color="auto" w:fill="auto"/>
          </w:tcPr>
          <w:p w14:paraId="08421396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 (4.6)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69F61AD0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shd w:val="clear" w:color="auto" w:fill="auto"/>
          </w:tcPr>
          <w:p w14:paraId="216F812F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 (1.7)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shd w:val="clear" w:color="auto" w:fill="auto"/>
          </w:tcPr>
          <w:p w14:paraId="4DBB9B2D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 (1.8)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auto"/>
          </w:tcPr>
          <w:p w14:paraId="313CE28B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auto"/>
          </w:tcPr>
          <w:p w14:paraId="07CBB622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 (1.1)</w:t>
            </w:r>
          </w:p>
        </w:tc>
        <w:tc>
          <w:tcPr>
            <w:tcW w:w="1350" w:type="dxa"/>
            <w:shd w:val="clear" w:color="auto" w:fill="auto"/>
          </w:tcPr>
          <w:p w14:paraId="2D16DC57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 (1.1)</w:t>
            </w:r>
          </w:p>
        </w:tc>
        <w:tc>
          <w:tcPr>
            <w:tcW w:w="240" w:type="dxa"/>
            <w:shd w:val="clear" w:color="auto" w:fill="auto"/>
          </w:tcPr>
          <w:p w14:paraId="610FD2F7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</w:tcPr>
          <w:p w14:paraId="371D3402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 (1.5)</w:t>
            </w:r>
          </w:p>
        </w:tc>
      </w:tr>
      <w:tr w:rsidR="0066044A" w14:paraId="2F80B916" w14:textId="77777777">
        <w:trPr>
          <w:trHeight w:val="420"/>
        </w:trPr>
        <w:tc>
          <w:tcPr>
            <w:tcW w:w="1890" w:type="dxa"/>
            <w:tcBorders>
              <w:bottom w:val="single" w:sz="8" w:space="0" w:color="000000"/>
            </w:tcBorders>
            <w:shd w:val="clear" w:color="auto" w:fill="auto"/>
          </w:tcPr>
          <w:p w14:paraId="0386125C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CDR-SB, mean (std)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B1330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 (1.5)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auto"/>
          </w:tcPr>
          <w:p w14:paraId="119BE205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 (2.6)</w:t>
            </w: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A9B88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D6F58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3.99 (1.6)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572FD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 (0.8)</w:t>
            </w: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91CAB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D8DE9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 (0.1)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auto"/>
          </w:tcPr>
          <w:p w14:paraId="2579E98E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 (0.4)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auto"/>
          </w:tcPr>
          <w:p w14:paraId="5101B21E" w14:textId="77777777" w:rsidR="0066044A" w:rsidRDefault="006604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bottom w:val="single" w:sz="8" w:space="0" w:color="000000"/>
            </w:tcBorders>
            <w:shd w:val="clear" w:color="auto" w:fill="auto"/>
          </w:tcPr>
          <w:p w14:paraId="491B1851" w14:textId="77777777" w:rsidR="0066044A" w:rsidRDefault="00C126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 (0.1)</w:t>
            </w:r>
          </w:p>
        </w:tc>
      </w:tr>
    </w:tbl>
    <w:p w14:paraId="78495CC7" w14:textId="77777777" w:rsidR="0066044A" w:rsidRDefault="00C12641">
      <w:pPr>
        <w:sectPr w:rsidR="0066044A">
          <w:pgSz w:w="15840" w:h="12240" w:orient="landscape"/>
          <w:pgMar w:top="1440" w:right="1440" w:bottom="1440" w:left="1440" w:header="0" w:footer="0" w:gutter="0"/>
          <w:cols w:space="720"/>
          <w:formProt w:val="0"/>
          <w:docGrid w:linePitch="100"/>
        </w:sectPr>
      </w:pPr>
      <w:r>
        <w:t xml:space="preserve">CU: </w:t>
      </w:r>
      <w:r>
        <w:t>cognitively unimpaired</w:t>
      </w:r>
    </w:p>
    <w:p w14:paraId="31792BB1" w14:textId="77777777" w:rsidR="0066044A" w:rsidRDefault="00C12641">
      <w:pPr>
        <w:rPr>
          <w:color w:val="D9D9D9"/>
        </w:rPr>
      </w:pPr>
      <w:r>
        <w:lastRenderedPageBreak/>
        <w:t>Table S2. Performance (validation AUC) of early AD models</w:t>
      </w:r>
    </w:p>
    <w:tbl>
      <w:tblPr>
        <w:tblW w:w="6935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2"/>
        <w:gridCol w:w="2423"/>
      </w:tblGrid>
      <w:tr w:rsidR="0066044A" w14:paraId="41390930" w14:textId="77777777">
        <w:tc>
          <w:tcPr>
            <w:tcW w:w="4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08DE046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4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DE18F09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AUC (%)</w:t>
            </w:r>
          </w:p>
        </w:tc>
      </w:tr>
      <w:tr w:rsidR="0066044A" w14:paraId="0213EBE2" w14:textId="77777777">
        <w:tc>
          <w:tcPr>
            <w:tcW w:w="4511" w:type="dxa"/>
            <w:tcBorders>
              <w:top w:val="single" w:sz="8" w:space="0" w:color="000000"/>
            </w:tcBorders>
            <w:shd w:val="clear" w:color="auto" w:fill="auto"/>
          </w:tcPr>
          <w:p w14:paraId="442243C3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MMSE, CDR-SB, MRI</w:t>
            </w:r>
          </w:p>
        </w:tc>
        <w:tc>
          <w:tcPr>
            <w:tcW w:w="2423" w:type="dxa"/>
            <w:tcBorders>
              <w:top w:val="single" w:sz="8" w:space="0" w:color="000000"/>
            </w:tcBorders>
            <w:shd w:val="clear" w:color="auto" w:fill="auto"/>
          </w:tcPr>
          <w:p w14:paraId="718E7B0F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 ± 1.6</w:t>
            </w:r>
          </w:p>
        </w:tc>
      </w:tr>
      <w:tr w:rsidR="0066044A" w14:paraId="5D2DB024" w14:textId="77777777">
        <w:tc>
          <w:tcPr>
            <w:tcW w:w="4511" w:type="dxa"/>
            <w:shd w:val="clear" w:color="auto" w:fill="auto"/>
          </w:tcPr>
          <w:p w14:paraId="514CF346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MRI</w:t>
            </w:r>
          </w:p>
        </w:tc>
        <w:tc>
          <w:tcPr>
            <w:tcW w:w="2423" w:type="dxa"/>
            <w:shd w:val="clear" w:color="auto" w:fill="auto"/>
          </w:tcPr>
          <w:p w14:paraId="101DAACA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 ± 1.6</w:t>
            </w:r>
          </w:p>
        </w:tc>
      </w:tr>
      <w:tr w:rsidR="0066044A" w14:paraId="5DC0F4E6" w14:textId="77777777">
        <w:tc>
          <w:tcPr>
            <w:tcW w:w="4511" w:type="dxa"/>
            <w:shd w:val="clear" w:color="auto" w:fill="auto"/>
          </w:tcPr>
          <w:p w14:paraId="3CCB4E16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MMSE, CDR-SB</w:t>
            </w:r>
          </w:p>
        </w:tc>
        <w:tc>
          <w:tcPr>
            <w:tcW w:w="2423" w:type="dxa"/>
            <w:shd w:val="clear" w:color="auto" w:fill="auto"/>
          </w:tcPr>
          <w:p w14:paraId="5E7F893E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75.2 ± 1.2</w:t>
            </w:r>
          </w:p>
        </w:tc>
      </w:tr>
      <w:tr w:rsidR="0066044A" w14:paraId="10D1B1A5" w14:textId="77777777">
        <w:tc>
          <w:tcPr>
            <w:tcW w:w="4511" w:type="dxa"/>
            <w:tcBorders>
              <w:bottom w:val="single" w:sz="8" w:space="0" w:color="000000"/>
            </w:tcBorders>
            <w:shd w:val="clear" w:color="auto" w:fill="auto"/>
          </w:tcPr>
          <w:p w14:paraId="4E80128A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</w:t>
            </w:r>
          </w:p>
        </w:tc>
        <w:tc>
          <w:tcPr>
            <w:tcW w:w="2423" w:type="dxa"/>
            <w:tcBorders>
              <w:bottom w:val="single" w:sz="8" w:space="0" w:color="000000"/>
            </w:tcBorders>
            <w:shd w:val="clear" w:color="auto" w:fill="auto"/>
          </w:tcPr>
          <w:p w14:paraId="2254230F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63.8 ± 1.2</w:t>
            </w:r>
          </w:p>
        </w:tc>
      </w:tr>
    </w:tbl>
    <w:p w14:paraId="5798CD73" w14:textId="77777777" w:rsidR="0066044A" w:rsidRDefault="0066044A"/>
    <w:p w14:paraId="1C0E8BB2" w14:textId="77777777" w:rsidR="0066044A" w:rsidRDefault="0066044A"/>
    <w:p w14:paraId="7511FA1C" w14:textId="77777777" w:rsidR="0066044A" w:rsidRDefault="0066044A"/>
    <w:p w14:paraId="4DB50B31" w14:textId="77777777" w:rsidR="0066044A" w:rsidRDefault="00C12641">
      <w:r>
        <w:t xml:space="preserve">Table S3. Performance (validation AUC) of </w:t>
      </w:r>
      <w:proofErr w:type="spellStart"/>
      <w:r>
        <w:t>presymptomatic</w:t>
      </w:r>
      <w:proofErr w:type="spellEnd"/>
      <w:r>
        <w:t xml:space="preserve"> models</w:t>
      </w:r>
    </w:p>
    <w:tbl>
      <w:tblPr>
        <w:tblW w:w="708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05"/>
        <w:gridCol w:w="2475"/>
      </w:tblGrid>
      <w:tr w:rsidR="0066044A" w14:paraId="69EEA7B5" w14:textId="77777777"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57B3CEE" w14:textId="77777777" w:rsidR="0066044A" w:rsidRDefault="00C126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3DD400A" w14:textId="77777777" w:rsidR="0066044A" w:rsidRDefault="00C126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AUC (%)</w:t>
            </w:r>
          </w:p>
        </w:tc>
      </w:tr>
      <w:tr w:rsidR="0066044A" w14:paraId="6D1B497D" w14:textId="77777777">
        <w:tc>
          <w:tcPr>
            <w:tcW w:w="4604" w:type="dxa"/>
            <w:tcBorders>
              <w:top w:val="single" w:sz="8" w:space="0" w:color="000000"/>
            </w:tcBorders>
            <w:shd w:val="clear" w:color="auto" w:fill="auto"/>
          </w:tcPr>
          <w:p w14:paraId="03A4B010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education, FAQ, MMSE, CDR-SB, MRI</w:t>
            </w:r>
          </w:p>
        </w:tc>
        <w:tc>
          <w:tcPr>
            <w:tcW w:w="2475" w:type="dxa"/>
            <w:tcBorders>
              <w:top w:val="single" w:sz="8" w:space="0" w:color="000000"/>
            </w:tcBorders>
            <w:shd w:val="clear" w:color="auto" w:fill="auto"/>
          </w:tcPr>
          <w:p w14:paraId="6002F91A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 ± 1.2</w:t>
            </w:r>
          </w:p>
        </w:tc>
      </w:tr>
      <w:tr w:rsidR="0066044A" w14:paraId="6218D247" w14:textId="77777777">
        <w:tc>
          <w:tcPr>
            <w:tcW w:w="4604" w:type="dxa"/>
            <w:shd w:val="clear" w:color="auto" w:fill="auto"/>
          </w:tcPr>
          <w:p w14:paraId="4ADF2198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FAQ, MMSE, CDR-SB, MRI</w:t>
            </w:r>
          </w:p>
        </w:tc>
        <w:tc>
          <w:tcPr>
            <w:tcW w:w="2475" w:type="dxa"/>
            <w:shd w:val="clear" w:color="auto" w:fill="auto"/>
          </w:tcPr>
          <w:p w14:paraId="6D188E52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 ± 1.2</w:t>
            </w:r>
          </w:p>
        </w:tc>
      </w:tr>
      <w:tr w:rsidR="0066044A" w14:paraId="5A74B69A" w14:textId="77777777">
        <w:tc>
          <w:tcPr>
            <w:tcW w:w="4604" w:type="dxa"/>
            <w:shd w:val="clear" w:color="auto" w:fill="auto"/>
          </w:tcPr>
          <w:p w14:paraId="6D47DC9C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MMSE, CDR-SB, MRI</w:t>
            </w:r>
          </w:p>
        </w:tc>
        <w:tc>
          <w:tcPr>
            <w:tcW w:w="2475" w:type="dxa"/>
            <w:shd w:val="clear" w:color="auto" w:fill="auto"/>
          </w:tcPr>
          <w:p w14:paraId="78E73F4F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71.6 ± 1.1</w:t>
            </w:r>
          </w:p>
        </w:tc>
      </w:tr>
      <w:tr w:rsidR="0066044A" w14:paraId="363EF615" w14:textId="77777777">
        <w:tc>
          <w:tcPr>
            <w:tcW w:w="4604" w:type="dxa"/>
            <w:shd w:val="clear" w:color="auto" w:fill="auto"/>
          </w:tcPr>
          <w:p w14:paraId="4A8E2A5B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MRI</w:t>
            </w:r>
          </w:p>
        </w:tc>
        <w:tc>
          <w:tcPr>
            <w:tcW w:w="2475" w:type="dxa"/>
            <w:shd w:val="clear" w:color="auto" w:fill="auto"/>
          </w:tcPr>
          <w:p w14:paraId="4AFBBAED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71.3 ± 1.2</w:t>
            </w:r>
          </w:p>
        </w:tc>
      </w:tr>
      <w:tr w:rsidR="0066044A" w14:paraId="221D1BEB" w14:textId="77777777">
        <w:tc>
          <w:tcPr>
            <w:tcW w:w="4604" w:type="dxa"/>
            <w:shd w:val="clear" w:color="auto" w:fill="auto"/>
          </w:tcPr>
          <w:p w14:paraId="28735142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education, MRI</w:t>
            </w:r>
          </w:p>
        </w:tc>
        <w:tc>
          <w:tcPr>
            <w:tcW w:w="2475" w:type="dxa"/>
            <w:shd w:val="clear" w:color="auto" w:fill="auto"/>
          </w:tcPr>
          <w:p w14:paraId="6B010B58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71.3 ± 1.3</w:t>
            </w:r>
          </w:p>
        </w:tc>
      </w:tr>
      <w:tr w:rsidR="0066044A" w14:paraId="4BCDD721" w14:textId="77777777">
        <w:tc>
          <w:tcPr>
            <w:tcW w:w="4604" w:type="dxa"/>
            <w:shd w:val="clear" w:color="auto" w:fill="auto"/>
          </w:tcPr>
          <w:p w14:paraId="51C4BE0B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FAQ, MMSE, CDR-SB</w:t>
            </w:r>
          </w:p>
        </w:tc>
        <w:tc>
          <w:tcPr>
            <w:tcW w:w="2475" w:type="dxa"/>
            <w:shd w:val="clear" w:color="auto" w:fill="auto"/>
          </w:tcPr>
          <w:p w14:paraId="03BB8444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 ± 1.5</w:t>
            </w:r>
          </w:p>
        </w:tc>
      </w:tr>
      <w:tr w:rsidR="0066044A" w14:paraId="49D401A9" w14:textId="77777777">
        <w:tc>
          <w:tcPr>
            <w:tcW w:w="4604" w:type="dxa"/>
            <w:shd w:val="clear" w:color="auto" w:fill="auto"/>
          </w:tcPr>
          <w:p w14:paraId="32C2F032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education, FAQ, MMSE, CDR-SB</w:t>
            </w:r>
          </w:p>
        </w:tc>
        <w:tc>
          <w:tcPr>
            <w:tcW w:w="2475" w:type="dxa"/>
            <w:shd w:val="clear" w:color="auto" w:fill="auto"/>
          </w:tcPr>
          <w:p w14:paraId="7B857485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 ± 1.3</w:t>
            </w:r>
          </w:p>
        </w:tc>
      </w:tr>
      <w:tr w:rsidR="0066044A" w14:paraId="6BE2D65B" w14:textId="77777777">
        <w:tc>
          <w:tcPr>
            <w:tcW w:w="4604" w:type="dxa"/>
            <w:shd w:val="clear" w:color="auto" w:fill="auto"/>
          </w:tcPr>
          <w:p w14:paraId="6550873C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MMSE, CDR-SB</w:t>
            </w:r>
          </w:p>
        </w:tc>
        <w:tc>
          <w:tcPr>
            <w:tcW w:w="2475" w:type="dxa"/>
            <w:shd w:val="clear" w:color="auto" w:fill="auto"/>
          </w:tcPr>
          <w:p w14:paraId="5D60F6A4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 ± 1.5</w:t>
            </w:r>
          </w:p>
        </w:tc>
      </w:tr>
      <w:tr w:rsidR="0066044A" w14:paraId="2F3D8A5F" w14:textId="77777777">
        <w:tc>
          <w:tcPr>
            <w:tcW w:w="4604" w:type="dxa"/>
            <w:shd w:val="clear" w:color="auto" w:fill="auto"/>
          </w:tcPr>
          <w:p w14:paraId="784646A9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</w:t>
            </w:r>
          </w:p>
        </w:tc>
        <w:tc>
          <w:tcPr>
            <w:tcW w:w="2475" w:type="dxa"/>
            <w:shd w:val="clear" w:color="auto" w:fill="auto"/>
          </w:tcPr>
          <w:p w14:paraId="3B11A6EC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68.8 ± 1.7</w:t>
            </w:r>
          </w:p>
        </w:tc>
      </w:tr>
      <w:tr w:rsidR="0066044A" w14:paraId="21F8BC73" w14:textId="77777777">
        <w:tc>
          <w:tcPr>
            <w:tcW w:w="4604" w:type="dxa"/>
            <w:tcBorders>
              <w:bottom w:val="single" w:sz="8" w:space="0" w:color="000000"/>
            </w:tcBorders>
            <w:shd w:val="clear" w:color="auto" w:fill="auto"/>
          </w:tcPr>
          <w:p w14:paraId="66F221CC" w14:textId="77777777" w:rsidR="0066044A" w:rsidRDefault="00C12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sex, APOE ε4, education</w:t>
            </w:r>
          </w:p>
        </w:tc>
        <w:tc>
          <w:tcPr>
            <w:tcW w:w="2475" w:type="dxa"/>
            <w:tcBorders>
              <w:bottom w:val="single" w:sz="8" w:space="0" w:color="000000"/>
            </w:tcBorders>
            <w:shd w:val="clear" w:color="auto" w:fill="auto"/>
          </w:tcPr>
          <w:p w14:paraId="72076D4B" w14:textId="77777777" w:rsidR="0066044A" w:rsidRDefault="00C126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68.3 ± 1.3</w:t>
            </w:r>
          </w:p>
        </w:tc>
      </w:tr>
    </w:tbl>
    <w:p w14:paraId="5E625853" w14:textId="77777777" w:rsidR="0066044A" w:rsidRDefault="0066044A"/>
    <w:p w14:paraId="7DE34C1A" w14:textId="77777777" w:rsidR="0066044A" w:rsidRDefault="0066044A"/>
    <w:p w14:paraId="13EB8D7D" w14:textId="77777777" w:rsidR="0066044A" w:rsidRDefault="0066044A"/>
    <w:p w14:paraId="4E9FBA9E" w14:textId="77777777" w:rsidR="0066044A" w:rsidRDefault="00C12641">
      <w:r>
        <w:rPr>
          <w:noProof/>
        </w:rPr>
        <w:lastRenderedPageBreak/>
        <w:drawing>
          <wp:inline distT="0" distB="0" distL="0" distR="0" wp14:anchorId="61058407" wp14:editId="2BA6DECE">
            <wp:extent cx="5943600" cy="8216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720CE" w14:textId="77777777" w:rsidR="0066044A" w:rsidRDefault="00C12641">
      <w:r>
        <w:t>Figure S1. Distributions of age, MMSE, and global CDR measured at baseline for the whole sample (black), the predicted stable (blue) and the predicted decliners (orange).</w:t>
      </w:r>
    </w:p>
    <w:p w14:paraId="52425DC5" w14:textId="77777777" w:rsidR="0066044A" w:rsidRDefault="0066044A"/>
    <w:p w14:paraId="57142DB9" w14:textId="77777777" w:rsidR="0066044A" w:rsidRDefault="00C12641">
      <w:r>
        <w:rPr>
          <w:noProof/>
        </w:rPr>
        <w:lastRenderedPageBreak/>
        <w:drawing>
          <wp:inline distT="0" distB="0" distL="0" distR="0" wp14:anchorId="3BBE4BA5" wp14:editId="0E68C55F">
            <wp:extent cx="5943600" cy="6858000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0646" w14:textId="11A85771" w:rsidR="0066044A" w:rsidRDefault="00C12641">
      <w:r>
        <w:t xml:space="preserve">Figure S2. Analysis of the importance of each feature for both the early AD (top) and </w:t>
      </w:r>
      <w:proofErr w:type="spellStart"/>
      <w:r>
        <w:t>presymptomatic</w:t>
      </w:r>
      <w:proofErr w:type="spellEnd"/>
      <w:r>
        <w:t xml:space="preserve"> (bottom) models. The x-axis contains </w:t>
      </w:r>
      <w:proofErr w:type="spellStart"/>
      <w:r>
        <w:t>SHapley</w:t>
      </w:r>
      <w:proofErr w:type="spellEnd"/>
      <w:r>
        <w:t xml:space="preserve"> Additive </w:t>
      </w:r>
      <w:proofErr w:type="spellStart"/>
      <w:r>
        <w:t>exPlanations</w:t>
      </w:r>
      <w:proofErr w:type="spellEnd"/>
      <w:r>
        <w:t xml:space="preserve"> (SHAP) values </w:t>
      </w:r>
      <w:hyperlink r:id="rId6"/>
      <w:r>
        <w:t>(</w:t>
      </w:r>
      <w:r>
        <w:t xml:space="preserve">see </w:t>
      </w:r>
      <w:r>
        <w:t xml:space="preserve">Lundberg </w:t>
      </w:r>
      <w:r>
        <w:t>&amp; Lee, 2017</w:t>
      </w:r>
      <w:r>
        <w:t xml:space="preserve"> (50)</w:t>
      </w:r>
      <w:r>
        <w:t xml:space="preserve">), while the y-axis contains the top 15 most important features, in descending order. Each point in the plot denotes the feature of a sample from the discovery set, and its </w:t>
      </w:r>
      <w:proofErr w:type="spellStart"/>
      <w:r>
        <w:t>colour</w:t>
      </w:r>
      <w:proofErr w:type="spellEnd"/>
      <w:r>
        <w:t xml:space="preserve"> indicates the value of that feature: higher feature values a</w:t>
      </w:r>
      <w:r>
        <w:t>re in red and lower feature values are in blue. SHAP values measure the impact of a feature on the output of the model: the higher the SHAP value, the more that feature is driving the model to classify that participant as a decliner, while the lower the SH</w:t>
      </w:r>
      <w:r>
        <w:t xml:space="preserve">AP value, the more that feature is driving the model to predict that the participant will remain stable. Looking at the </w:t>
      </w:r>
      <w:proofErr w:type="spellStart"/>
      <w:r>
        <w:t>presymptomatic</w:t>
      </w:r>
      <w:proofErr w:type="spellEnd"/>
      <w:r>
        <w:t xml:space="preserve"> model for instance, one can see </w:t>
      </w:r>
      <w:proofErr w:type="gramStart"/>
      <w:r>
        <w:t>that older individuals</w:t>
      </w:r>
      <w:proofErr w:type="gramEnd"/>
      <w:r>
        <w:t xml:space="preserve"> (i.e. with a higher age, thus in red) have higher SHAP values, whi</w:t>
      </w:r>
      <w:r>
        <w:t xml:space="preserve">le younger </w:t>
      </w:r>
      <w:r>
        <w:lastRenderedPageBreak/>
        <w:t>individuals (in blue) have lower SHAP values. This indicates that the older the individual, the more the model will be driven to predict that individual as a decliner.</w:t>
      </w:r>
    </w:p>
    <w:p w14:paraId="599C6CC4" w14:textId="77777777" w:rsidR="0066044A" w:rsidRDefault="0066044A"/>
    <w:sectPr w:rsidR="0066044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4A"/>
    <w:rsid w:val="0066044A"/>
    <w:rsid w:val="00C1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BA97B"/>
  <w15:docId w15:val="{BF116809-AA76-5F45-930F-D0184281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6E"/>
    <w:pPr>
      <w:spacing w:line="276" w:lineRule="auto"/>
    </w:pPr>
    <w:rPr>
      <w:rFonts w:ascii="Arial" w:eastAsia="Arial" w:hAnsi="Arial" w:cs="Arial"/>
      <w:sz w:val="22"/>
      <w:szCs w:val="22"/>
      <w:lang w:val="en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9y9f7J/qPa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475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dc:description/>
  <cp:lastModifiedBy>Virginie Cassigneul</cp:lastModifiedBy>
  <cp:revision>3</cp:revision>
  <dcterms:created xsi:type="dcterms:W3CDTF">2022-03-27T04:13:00Z</dcterms:created>
  <dcterms:modified xsi:type="dcterms:W3CDTF">2022-04-08T08:56:00Z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