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9CC21" w14:textId="2FBEBFF4" w:rsidR="00085070" w:rsidRPr="00874ABA" w:rsidRDefault="00085070" w:rsidP="00085070">
      <w:pPr>
        <w:pStyle w:val="Manuscriptheading2"/>
        <w:spacing w:line="480" w:lineRule="auto"/>
        <w:rPr>
          <w:lang w:val="en-US"/>
        </w:rPr>
      </w:pPr>
      <w:r w:rsidRPr="00874ABA">
        <w:rPr>
          <w:lang w:val="en-US"/>
        </w:rPr>
        <w:t xml:space="preserve">Supplementary </w:t>
      </w:r>
      <w:r w:rsidR="00FA3910" w:rsidRPr="00874ABA">
        <w:rPr>
          <w:lang w:val="en-US"/>
        </w:rPr>
        <w:t>Information</w:t>
      </w:r>
    </w:p>
    <w:p w14:paraId="3AD7FDB6" w14:textId="0E3ED108" w:rsidR="00085070" w:rsidRPr="00874ABA" w:rsidRDefault="00085070" w:rsidP="00085070">
      <w:pPr>
        <w:pStyle w:val="Bulletlevel4"/>
        <w:numPr>
          <w:ilvl w:val="0"/>
          <w:numId w:val="0"/>
        </w:numPr>
        <w:rPr>
          <w:rFonts w:cs="Arial"/>
          <w:bCs/>
        </w:rPr>
      </w:pPr>
      <w:r w:rsidRPr="00874ABA">
        <w:rPr>
          <w:rFonts w:cs="Arial"/>
          <w:bCs/>
        </w:rPr>
        <w:t xml:space="preserve">Supplement to: Budd Haeberlein S, Aisen PS, </w:t>
      </w:r>
      <w:r w:rsidR="00ED7EEA" w:rsidRPr="00A8439A">
        <w:rPr>
          <w:rFonts w:eastAsia="Calibri" w:cs="Arial"/>
          <w:lang w:val="en-US"/>
        </w:rPr>
        <w:t>Barkhof</w:t>
      </w:r>
      <w:r w:rsidR="00ED7EEA" w:rsidRPr="00874ABA">
        <w:rPr>
          <w:rFonts w:cs="Arial"/>
          <w:bCs/>
        </w:rPr>
        <w:t xml:space="preserve"> </w:t>
      </w:r>
      <w:r w:rsidR="00ED7EEA">
        <w:rPr>
          <w:rFonts w:cs="Arial"/>
          <w:bCs/>
        </w:rPr>
        <w:t xml:space="preserve">F </w:t>
      </w:r>
      <w:r w:rsidRPr="00874ABA">
        <w:rPr>
          <w:rFonts w:cs="Arial"/>
          <w:bCs/>
        </w:rPr>
        <w:t>et al. Two Randomized Phase</w:t>
      </w:r>
      <w:r w:rsidR="00836107" w:rsidRPr="00874ABA">
        <w:rPr>
          <w:rFonts w:cs="Arial"/>
          <w:bCs/>
        </w:rPr>
        <w:t xml:space="preserve"> </w:t>
      </w:r>
      <w:r w:rsidRPr="00874ABA">
        <w:rPr>
          <w:rFonts w:cs="Arial"/>
          <w:bCs/>
        </w:rPr>
        <w:t>3 Studies to Evaluate Aducanumab in Early Alzheimer</w:t>
      </w:r>
      <w:r w:rsidR="00F53B9B" w:rsidRPr="00874ABA">
        <w:rPr>
          <w:lang w:val="en-US"/>
        </w:rPr>
        <w:t>’s</w:t>
      </w:r>
      <w:r w:rsidRPr="00874ABA">
        <w:rPr>
          <w:rFonts w:cs="Arial"/>
          <w:bCs/>
        </w:rPr>
        <w:t xml:space="preserve"> Disease.</w:t>
      </w:r>
    </w:p>
    <w:p w14:paraId="1BB88A6E" w14:textId="77777777" w:rsidR="001E3D36" w:rsidRPr="00874ABA" w:rsidRDefault="001E3D36" w:rsidP="001E3D36">
      <w:pPr>
        <w:pStyle w:val="Bulletlevel4"/>
        <w:numPr>
          <w:ilvl w:val="0"/>
          <w:numId w:val="0"/>
        </w:numPr>
        <w:rPr>
          <w:rFonts w:eastAsiaTheme="minorHAnsi" w:cs="Arial"/>
          <w:szCs w:val="22"/>
          <w:lang w:val="en-US"/>
        </w:rPr>
      </w:pPr>
    </w:p>
    <w:p w14:paraId="2A524C8C" w14:textId="6CEC88AD" w:rsidR="001E3D36" w:rsidRPr="00874ABA" w:rsidRDefault="001E3D36" w:rsidP="001E3D36">
      <w:pPr>
        <w:pStyle w:val="Manuscriptheading2"/>
        <w:spacing w:before="0" w:after="0" w:line="480" w:lineRule="auto"/>
        <w:rPr>
          <w:sz w:val="24"/>
          <w:lang w:val="en-US"/>
        </w:rPr>
      </w:pPr>
      <w:r w:rsidRPr="00874ABA">
        <w:rPr>
          <w:sz w:val="24"/>
          <w:lang w:val="en-US"/>
        </w:rPr>
        <w:t>Supplement</w:t>
      </w:r>
    </w:p>
    <w:p w14:paraId="13E19F42" w14:textId="1A8D5830" w:rsidR="00085070" w:rsidRPr="00874ABA" w:rsidRDefault="00085070" w:rsidP="00085070">
      <w:pPr>
        <w:pStyle w:val="Bulletlevel4"/>
        <w:numPr>
          <w:ilvl w:val="0"/>
          <w:numId w:val="0"/>
        </w:numPr>
        <w:rPr>
          <w:rFonts w:eastAsiaTheme="minorHAnsi" w:cs="Arial"/>
          <w:szCs w:val="22"/>
          <w:lang w:val="en-US"/>
        </w:rPr>
      </w:pPr>
      <w:r w:rsidRPr="00874ABA">
        <w:rPr>
          <w:rFonts w:cs="Arial"/>
          <w:b/>
          <w:szCs w:val="22"/>
        </w:rPr>
        <w:t>Supplement 1</w:t>
      </w:r>
      <w:r w:rsidR="001E3D36" w:rsidRPr="00874ABA">
        <w:rPr>
          <w:rFonts w:eastAsiaTheme="minorHAnsi" w:cs="Arial"/>
          <w:szCs w:val="22"/>
          <w:lang w:val="en-US"/>
        </w:rPr>
        <w:t xml:space="preserve"> </w:t>
      </w:r>
      <w:r w:rsidRPr="00874ABA">
        <w:rPr>
          <w:rFonts w:eastAsiaTheme="minorHAnsi" w:cs="Arial"/>
          <w:szCs w:val="22"/>
          <w:lang w:val="en-US"/>
        </w:rPr>
        <w:t>Inclusion and exclusion criteria</w:t>
      </w:r>
    </w:p>
    <w:p w14:paraId="2F267368" w14:textId="3B7CFC16" w:rsidR="0067353B" w:rsidRPr="00874ABA" w:rsidRDefault="00085070" w:rsidP="001E3D36">
      <w:pPr>
        <w:pStyle w:val="Bulletlevel4"/>
        <w:numPr>
          <w:ilvl w:val="0"/>
          <w:numId w:val="0"/>
        </w:numPr>
        <w:rPr>
          <w:rFonts w:eastAsiaTheme="minorHAnsi" w:cs="Arial"/>
          <w:szCs w:val="22"/>
          <w:lang w:val="en-US"/>
        </w:rPr>
      </w:pPr>
      <w:r w:rsidRPr="00874ABA">
        <w:rPr>
          <w:rFonts w:cs="Arial"/>
          <w:b/>
          <w:szCs w:val="22"/>
        </w:rPr>
        <w:t>Supplement 2</w:t>
      </w:r>
      <w:r w:rsidR="001E3D36" w:rsidRPr="00874ABA">
        <w:rPr>
          <w:rFonts w:cs="Arial"/>
          <w:bCs/>
          <w:szCs w:val="22"/>
        </w:rPr>
        <w:t xml:space="preserve"> </w:t>
      </w:r>
      <w:r w:rsidR="0067353B" w:rsidRPr="00874ABA">
        <w:rPr>
          <w:rFonts w:eastAsiaTheme="minorHAnsi" w:cs="Arial"/>
          <w:szCs w:val="22"/>
          <w:lang w:val="en-US"/>
        </w:rPr>
        <w:t>Discontinuation of study treatment</w:t>
      </w:r>
    </w:p>
    <w:p w14:paraId="775F60A2" w14:textId="44DF98E1" w:rsidR="0067353B" w:rsidRPr="00874ABA" w:rsidRDefault="00085070" w:rsidP="0067353B">
      <w:pPr>
        <w:pStyle w:val="Bulletlevel4"/>
        <w:numPr>
          <w:ilvl w:val="0"/>
          <w:numId w:val="0"/>
        </w:numPr>
        <w:rPr>
          <w:rFonts w:eastAsiaTheme="minorHAnsi" w:cs="Arial"/>
          <w:szCs w:val="22"/>
          <w:lang w:val="en-US"/>
        </w:rPr>
      </w:pPr>
      <w:r w:rsidRPr="00874ABA">
        <w:rPr>
          <w:rFonts w:cs="Arial"/>
          <w:b/>
          <w:szCs w:val="22"/>
        </w:rPr>
        <w:t>Supplement 3</w:t>
      </w:r>
      <w:r w:rsidR="001E3D36" w:rsidRPr="00874ABA">
        <w:rPr>
          <w:rFonts w:eastAsiaTheme="minorHAnsi" w:cs="Arial"/>
          <w:szCs w:val="22"/>
          <w:lang w:val="en-US"/>
        </w:rPr>
        <w:t xml:space="preserve"> </w:t>
      </w:r>
      <w:r w:rsidR="0067353B" w:rsidRPr="00874ABA">
        <w:rPr>
          <w:rFonts w:eastAsiaTheme="minorHAnsi" w:cs="Arial"/>
          <w:szCs w:val="22"/>
          <w:lang w:val="en-US"/>
        </w:rPr>
        <w:t>Description of study populations and statistical models</w:t>
      </w:r>
    </w:p>
    <w:p w14:paraId="1DD0B2F8" w14:textId="50F8D51E" w:rsidR="0067353B" w:rsidRPr="00874ABA" w:rsidRDefault="00085070" w:rsidP="0067353B">
      <w:pPr>
        <w:pStyle w:val="Bulletlevel4"/>
        <w:numPr>
          <w:ilvl w:val="0"/>
          <w:numId w:val="0"/>
        </w:numPr>
        <w:rPr>
          <w:rFonts w:eastAsiaTheme="minorHAnsi" w:cs="Arial"/>
          <w:szCs w:val="22"/>
          <w:lang w:val="en-US"/>
        </w:rPr>
      </w:pPr>
      <w:r w:rsidRPr="00874ABA">
        <w:rPr>
          <w:rFonts w:cs="Arial"/>
          <w:b/>
          <w:szCs w:val="22"/>
        </w:rPr>
        <w:t>Supplement 4</w:t>
      </w:r>
      <w:r w:rsidR="001E3D36" w:rsidRPr="00874ABA">
        <w:rPr>
          <w:rFonts w:cs="Arial"/>
          <w:bCs/>
          <w:szCs w:val="22"/>
        </w:rPr>
        <w:t xml:space="preserve"> </w:t>
      </w:r>
      <w:r w:rsidR="0067353B" w:rsidRPr="00874ABA">
        <w:rPr>
          <w:rFonts w:eastAsiaTheme="minorHAnsi" w:cs="Arial"/>
          <w:szCs w:val="22"/>
          <w:lang w:val="en-US"/>
        </w:rPr>
        <w:t>Sensitivity analyses of primary efficacy endpoint</w:t>
      </w:r>
    </w:p>
    <w:p w14:paraId="35BD3D38" w14:textId="77777777" w:rsidR="00201295" w:rsidRPr="00874ABA" w:rsidRDefault="00201295" w:rsidP="00201295">
      <w:pPr>
        <w:pStyle w:val="Bulletlevel4"/>
        <w:numPr>
          <w:ilvl w:val="0"/>
          <w:numId w:val="0"/>
        </w:numPr>
        <w:rPr>
          <w:rFonts w:eastAsiaTheme="minorHAnsi" w:cs="Arial"/>
          <w:szCs w:val="22"/>
          <w:lang w:val="en-US"/>
        </w:rPr>
      </w:pPr>
    </w:p>
    <w:p w14:paraId="0CE17C15" w14:textId="37D04954" w:rsidR="00FA3910" w:rsidRPr="00874ABA" w:rsidRDefault="001674E1" w:rsidP="00FA3910">
      <w:pPr>
        <w:pStyle w:val="Manuscriptheading2"/>
        <w:spacing w:before="0" w:after="0" w:line="480" w:lineRule="auto"/>
        <w:rPr>
          <w:sz w:val="24"/>
          <w:lang w:val="en-US"/>
        </w:rPr>
      </w:pPr>
      <w:bookmarkStart w:id="0" w:name="_Hlk95484123"/>
      <w:r w:rsidRPr="00874ABA">
        <w:rPr>
          <w:sz w:val="24"/>
          <w:lang w:val="en-US"/>
        </w:rPr>
        <w:t xml:space="preserve">Supplemental </w:t>
      </w:r>
      <w:r w:rsidR="00FA3910" w:rsidRPr="00874ABA">
        <w:rPr>
          <w:sz w:val="24"/>
          <w:lang w:val="en-US"/>
        </w:rPr>
        <w:t>Data</w:t>
      </w:r>
    </w:p>
    <w:p w14:paraId="0F943C59" w14:textId="0AE172AE" w:rsidR="00D15D32" w:rsidRPr="00874ABA" w:rsidRDefault="001674E1" w:rsidP="00D15D32">
      <w:pPr>
        <w:pStyle w:val="Text"/>
        <w:rPr>
          <w:b/>
          <w:bCs/>
          <w:lang w:val="en-US"/>
        </w:rPr>
      </w:pPr>
      <w:r w:rsidRPr="00874ABA">
        <w:rPr>
          <w:b/>
          <w:lang w:val="en-US"/>
        </w:rPr>
        <w:t>Supplemental</w:t>
      </w:r>
      <w:r w:rsidR="00D15D32" w:rsidRPr="00874ABA">
        <w:rPr>
          <w:b/>
          <w:lang w:val="en-US"/>
        </w:rPr>
        <w:t xml:space="preserve"> Data Table </w:t>
      </w:r>
      <w:r w:rsidR="00D15D32" w:rsidRPr="00874ABA">
        <w:rPr>
          <w:b/>
          <w:bCs/>
          <w:lang w:val="en-US"/>
        </w:rPr>
        <w:t>1</w:t>
      </w:r>
      <w:r w:rsidR="00D15D32" w:rsidRPr="00874ABA">
        <w:t xml:space="preserve"> </w:t>
      </w:r>
      <w:r w:rsidR="00D15D32" w:rsidRPr="00874ABA">
        <w:rPr>
          <w:rFonts w:cs="Arial"/>
          <w:lang w:val="en-US"/>
        </w:rPr>
        <w:t>Demographic and baseline disease characteristics</w:t>
      </w:r>
      <w:r w:rsidR="00D15D32" w:rsidRPr="00874ABA">
        <w:rPr>
          <w:lang w:val="en-US"/>
        </w:rPr>
        <w:t xml:space="preserve"> in the amyloid PET, tau PET, CSF, and plasma p-tau</w:t>
      </w:r>
      <w:r w:rsidR="00D15D32" w:rsidRPr="00874ABA">
        <w:rPr>
          <w:vertAlign w:val="superscript"/>
          <w:lang w:val="en-US"/>
        </w:rPr>
        <w:t>181</w:t>
      </w:r>
      <w:r w:rsidR="00D15D32" w:rsidRPr="00874ABA">
        <w:rPr>
          <w:lang w:val="en-US"/>
        </w:rPr>
        <w:t xml:space="preserve"> populations</w:t>
      </w:r>
    </w:p>
    <w:p w14:paraId="0E07A4BB" w14:textId="18DB3003" w:rsidR="00294A5F" w:rsidRPr="00874ABA" w:rsidRDefault="001674E1" w:rsidP="00294A5F">
      <w:pPr>
        <w:rPr>
          <w:rFonts w:cs="Arial"/>
          <w:b/>
        </w:rPr>
      </w:pPr>
      <w:r w:rsidRPr="009E3A16">
        <w:rPr>
          <w:b/>
          <w:lang w:val="en-US"/>
        </w:rPr>
        <w:t xml:space="preserve">Supplemental </w:t>
      </w:r>
      <w:r w:rsidR="00294A5F" w:rsidRPr="009E3A16">
        <w:rPr>
          <w:rFonts w:cs="Arial"/>
          <w:b/>
        </w:rPr>
        <w:t xml:space="preserve">Data Table 2 </w:t>
      </w:r>
      <w:r w:rsidR="00294A5F" w:rsidRPr="009E3A16">
        <w:rPr>
          <w:rFonts w:cs="Arial"/>
        </w:rPr>
        <w:t>Change from baseline to week 78 on the CDR-SB, primary analysis and prespecified and post hoc sensitivity analyses in EMERGE</w:t>
      </w:r>
    </w:p>
    <w:p w14:paraId="4F81C5BC" w14:textId="0BCACB2F" w:rsidR="00512924" w:rsidRPr="00874ABA" w:rsidRDefault="001674E1" w:rsidP="00512924">
      <w:pPr>
        <w:pStyle w:val="Bulletlevel4"/>
        <w:numPr>
          <w:ilvl w:val="0"/>
          <w:numId w:val="0"/>
        </w:numPr>
        <w:rPr>
          <w:rFonts w:cs="Arial"/>
        </w:rPr>
      </w:pPr>
      <w:r w:rsidRPr="00874ABA">
        <w:rPr>
          <w:b/>
          <w:lang w:val="en-US"/>
        </w:rPr>
        <w:t xml:space="preserve">Supplemental </w:t>
      </w:r>
      <w:r w:rsidR="00512924" w:rsidRPr="00874ABA">
        <w:rPr>
          <w:rFonts w:cs="Arial"/>
          <w:b/>
        </w:rPr>
        <w:t xml:space="preserve">Data Table 3 </w:t>
      </w:r>
      <w:r w:rsidR="00512924" w:rsidRPr="00874ABA">
        <w:rPr>
          <w:rFonts w:cs="Arial"/>
          <w:bCs/>
        </w:rPr>
        <w:t>Summary of CDR-SB data in final data set compared with futility OTC</w:t>
      </w:r>
      <w:r w:rsidR="00512924" w:rsidRPr="00874ABA">
        <w:rPr>
          <w:rFonts w:cs="Arial"/>
          <w:b/>
        </w:rPr>
        <w:t xml:space="preserve"> </w:t>
      </w:r>
      <w:r w:rsidR="00512924" w:rsidRPr="00874ABA">
        <w:rPr>
          <w:rFonts w:cs="Arial"/>
          <w:noProof/>
        </w:rPr>
        <w:t xml:space="preserve">  </w:t>
      </w:r>
    </w:p>
    <w:p w14:paraId="56474325" w14:textId="4F2CF54C" w:rsidR="00294A5F" w:rsidRPr="00874ABA" w:rsidRDefault="001674E1" w:rsidP="00294A5F">
      <w:pPr>
        <w:pStyle w:val="Text"/>
        <w:rPr>
          <w:lang w:val="en-US" w:eastAsia="en-GB"/>
        </w:rPr>
      </w:pPr>
      <w:r w:rsidRPr="00874ABA">
        <w:rPr>
          <w:b/>
          <w:lang w:val="en-US"/>
        </w:rPr>
        <w:t xml:space="preserve">Supplemental </w:t>
      </w:r>
      <w:r w:rsidR="00294A5F" w:rsidRPr="00874ABA">
        <w:rPr>
          <w:b/>
          <w:lang w:val="en-US"/>
        </w:rPr>
        <w:t xml:space="preserve">Data Table </w:t>
      </w:r>
      <w:r w:rsidR="00D15D32" w:rsidRPr="00874ABA">
        <w:rPr>
          <w:b/>
          <w:bCs/>
          <w:lang w:val="en-US"/>
        </w:rPr>
        <w:t>4</w:t>
      </w:r>
      <w:r w:rsidR="00294A5F" w:rsidRPr="00874ABA">
        <w:rPr>
          <w:lang w:val="en-US"/>
        </w:rPr>
        <w:t xml:space="preserve"> </w:t>
      </w:r>
      <w:r w:rsidR="00294A5F" w:rsidRPr="00874ABA">
        <w:rPr>
          <w:bCs/>
          <w:lang w:val="en-US"/>
        </w:rPr>
        <w:t xml:space="preserve">Proportion of patients in EMERGE and ENGAGE with amyloid PET composite SUVR </w:t>
      </w:r>
      <w:r w:rsidR="00294A5F" w:rsidRPr="00874ABA">
        <w:rPr>
          <w:rFonts w:cs="Arial"/>
          <w:bCs/>
          <w:lang w:val="en-US"/>
        </w:rPr>
        <w:t>≤</w:t>
      </w:r>
      <w:r w:rsidR="00294A5F" w:rsidRPr="00874ABA">
        <w:rPr>
          <w:bCs/>
          <w:lang w:val="en-US"/>
        </w:rPr>
        <w:t>1.10 at week 78</w:t>
      </w:r>
    </w:p>
    <w:p w14:paraId="06E7B88A" w14:textId="3518B191" w:rsidR="00294A5F" w:rsidRPr="00874ABA" w:rsidRDefault="001674E1" w:rsidP="00294A5F">
      <w:pPr>
        <w:rPr>
          <w:rFonts w:ascii="Calibri" w:hAnsi="Calibri"/>
          <w:lang w:val="en-US" w:eastAsia="en-US"/>
        </w:rPr>
      </w:pPr>
      <w:r w:rsidRPr="00874ABA">
        <w:rPr>
          <w:b/>
          <w:lang w:val="en-US"/>
        </w:rPr>
        <w:t xml:space="preserve">Supplemental </w:t>
      </w:r>
      <w:r w:rsidR="00294A5F" w:rsidRPr="00874ABA">
        <w:rPr>
          <w:b/>
          <w:bCs/>
        </w:rPr>
        <w:t xml:space="preserve">Data Table </w:t>
      </w:r>
      <w:r w:rsidR="00D15D32" w:rsidRPr="00874ABA">
        <w:rPr>
          <w:b/>
          <w:bCs/>
        </w:rPr>
        <w:t>5</w:t>
      </w:r>
      <w:r w:rsidR="00294A5F" w:rsidRPr="00874ABA">
        <w:rPr>
          <w:b/>
          <w:bCs/>
        </w:rPr>
        <w:t xml:space="preserve"> </w:t>
      </w:r>
      <w:r w:rsidR="00294A5F" w:rsidRPr="00874ABA">
        <w:t>Serious symptoms of ARIA</w:t>
      </w:r>
    </w:p>
    <w:p w14:paraId="029F2E4C" w14:textId="11D260F9" w:rsidR="00294A5F" w:rsidRPr="00874ABA" w:rsidRDefault="001674E1" w:rsidP="00294A5F">
      <w:pPr>
        <w:rPr>
          <w:rFonts w:ascii="Calibri" w:hAnsi="Calibri"/>
          <w:b/>
          <w:bCs/>
          <w:lang w:val="en-US" w:eastAsia="en-US"/>
        </w:rPr>
      </w:pPr>
      <w:r w:rsidRPr="00874ABA">
        <w:rPr>
          <w:b/>
          <w:lang w:val="en-US"/>
        </w:rPr>
        <w:t xml:space="preserve">Supplemental </w:t>
      </w:r>
      <w:r w:rsidR="00294A5F" w:rsidRPr="00874ABA">
        <w:rPr>
          <w:b/>
          <w:bCs/>
        </w:rPr>
        <w:t xml:space="preserve">Data Table </w:t>
      </w:r>
      <w:r w:rsidR="00D15D32" w:rsidRPr="00874ABA">
        <w:rPr>
          <w:b/>
          <w:bCs/>
        </w:rPr>
        <w:t>6</w:t>
      </w:r>
      <w:r w:rsidR="00294A5F" w:rsidRPr="00874ABA">
        <w:rPr>
          <w:b/>
          <w:bCs/>
        </w:rPr>
        <w:t xml:space="preserve"> </w:t>
      </w:r>
      <w:r w:rsidR="00294A5F" w:rsidRPr="00874ABA">
        <w:t>Severe ARIA symptoms during an ARIA episode</w:t>
      </w:r>
    </w:p>
    <w:p w14:paraId="4B9AADB0" w14:textId="5B33B2F5" w:rsidR="00D62336" w:rsidRPr="00874ABA" w:rsidRDefault="001674E1" w:rsidP="00D62336">
      <w:pPr>
        <w:pStyle w:val="Bulletlevel4"/>
        <w:numPr>
          <w:ilvl w:val="0"/>
          <w:numId w:val="0"/>
        </w:numPr>
        <w:rPr>
          <w:rFonts w:cs="Arial"/>
          <w:b/>
        </w:rPr>
      </w:pPr>
      <w:r w:rsidRPr="00874ABA">
        <w:rPr>
          <w:b/>
          <w:lang w:val="en-US"/>
        </w:rPr>
        <w:t xml:space="preserve">Supplemental </w:t>
      </w:r>
      <w:r w:rsidR="00D62336" w:rsidRPr="00874ABA">
        <w:rPr>
          <w:rFonts w:cs="Arial"/>
          <w:b/>
        </w:rPr>
        <w:t xml:space="preserve">Data Fig. 1 </w:t>
      </w:r>
      <w:r w:rsidR="00D62336" w:rsidRPr="00874ABA">
        <w:rPr>
          <w:rFonts w:cs="Arial"/>
          <w:bCs/>
        </w:rPr>
        <w:t xml:space="preserve">EMERGE and ENGAGE dose regimen, </w:t>
      </w:r>
      <w:proofErr w:type="gramStart"/>
      <w:r w:rsidR="00D62336" w:rsidRPr="00874ABA">
        <w:rPr>
          <w:rFonts w:cs="Arial"/>
          <w:bCs/>
        </w:rPr>
        <w:t>enrollment</w:t>
      </w:r>
      <w:proofErr w:type="gramEnd"/>
      <w:r w:rsidR="00D62336" w:rsidRPr="00874ABA">
        <w:rPr>
          <w:rFonts w:cs="Arial"/>
          <w:bCs/>
        </w:rPr>
        <w:t xml:space="preserve"> and timing of key protocol amendments</w:t>
      </w:r>
    </w:p>
    <w:p w14:paraId="33BB7926" w14:textId="4D53299B" w:rsidR="00FA3910" w:rsidRPr="00874ABA" w:rsidRDefault="001674E1" w:rsidP="00D62336">
      <w:pPr>
        <w:rPr>
          <w:b/>
          <w:lang w:val="en-US"/>
        </w:rPr>
      </w:pPr>
      <w:r w:rsidRPr="00874ABA">
        <w:rPr>
          <w:b/>
          <w:lang w:val="en-US"/>
        </w:rPr>
        <w:t xml:space="preserve">Supplemental </w:t>
      </w:r>
      <w:r w:rsidR="00FA3910" w:rsidRPr="00874ABA">
        <w:rPr>
          <w:b/>
          <w:lang w:val="en-US"/>
        </w:rPr>
        <w:t xml:space="preserve">Data Fig. </w:t>
      </w:r>
      <w:r w:rsidR="00D458A1">
        <w:rPr>
          <w:b/>
          <w:lang w:val="en-US"/>
        </w:rPr>
        <w:t>2</w:t>
      </w:r>
      <w:r w:rsidR="00FA3910" w:rsidRPr="00874ABA">
        <w:rPr>
          <w:b/>
          <w:lang w:val="en-US"/>
        </w:rPr>
        <w:t xml:space="preserve"> </w:t>
      </w:r>
      <w:r w:rsidR="00FA3910" w:rsidRPr="00874ABA">
        <w:rPr>
          <w:bCs/>
          <w:lang w:val="en-US"/>
        </w:rPr>
        <w:t>Mean change from baseline in the CDR-SB, MMSE, ADAS-Cog13, ADCS-ADL-MCI, and NPI scores</w:t>
      </w:r>
      <w:r w:rsidR="00FA3910" w:rsidRPr="00874ABA">
        <w:rPr>
          <w:b/>
          <w:lang w:val="en-US"/>
        </w:rPr>
        <w:t xml:space="preserve"> </w:t>
      </w:r>
    </w:p>
    <w:p w14:paraId="52618319" w14:textId="5ED10CBA" w:rsidR="00FA3910" w:rsidRPr="00874ABA" w:rsidRDefault="001674E1" w:rsidP="00D62336">
      <w:pPr>
        <w:pStyle w:val="Bulletlevel4"/>
        <w:numPr>
          <w:ilvl w:val="0"/>
          <w:numId w:val="0"/>
        </w:numPr>
        <w:rPr>
          <w:b/>
          <w:lang w:val="en-US"/>
        </w:rPr>
      </w:pPr>
      <w:r w:rsidRPr="00874ABA">
        <w:rPr>
          <w:b/>
          <w:lang w:val="en-US"/>
        </w:rPr>
        <w:t xml:space="preserve">Supplemental </w:t>
      </w:r>
      <w:r w:rsidR="00FA3910" w:rsidRPr="00874ABA">
        <w:rPr>
          <w:b/>
          <w:lang w:val="en-US"/>
        </w:rPr>
        <w:t xml:space="preserve">Data Fig. </w:t>
      </w:r>
      <w:r w:rsidR="00D458A1">
        <w:rPr>
          <w:b/>
          <w:lang w:val="en-US"/>
        </w:rPr>
        <w:t>3</w:t>
      </w:r>
      <w:r w:rsidR="00FA3910" w:rsidRPr="00874ABA">
        <w:rPr>
          <w:b/>
          <w:lang w:val="en-US"/>
        </w:rPr>
        <w:t xml:space="preserve"> </w:t>
      </w:r>
      <w:r w:rsidR="00FA3910" w:rsidRPr="00874ABA">
        <w:rPr>
          <w:rFonts w:cs="Arial"/>
          <w:bCs/>
          <w:lang w:val="en-US"/>
        </w:rPr>
        <w:t>Subgroup analyses of primary and secondary endpoints</w:t>
      </w:r>
    </w:p>
    <w:p w14:paraId="7A0B1A81" w14:textId="037CB551" w:rsidR="00FA3910" w:rsidRPr="00874ABA" w:rsidRDefault="001674E1" w:rsidP="00D62336">
      <w:pPr>
        <w:pStyle w:val="Bulletlevel4"/>
        <w:numPr>
          <w:ilvl w:val="0"/>
          <w:numId w:val="0"/>
        </w:numPr>
        <w:rPr>
          <w:b/>
          <w:lang w:eastAsia="en-GB"/>
        </w:rPr>
      </w:pPr>
      <w:r w:rsidRPr="00874ABA">
        <w:rPr>
          <w:b/>
          <w:lang w:val="en-US"/>
        </w:rPr>
        <w:t xml:space="preserve">Supplemental </w:t>
      </w:r>
      <w:r w:rsidR="00FA3910" w:rsidRPr="00874ABA">
        <w:rPr>
          <w:rFonts w:cs="Arial"/>
          <w:b/>
        </w:rPr>
        <w:t xml:space="preserve">Data Fig. </w:t>
      </w:r>
      <w:r w:rsidR="00D458A1">
        <w:rPr>
          <w:rFonts w:cs="Arial"/>
          <w:b/>
        </w:rPr>
        <w:t>4</w:t>
      </w:r>
      <w:r w:rsidR="00FA3910" w:rsidRPr="00874ABA">
        <w:rPr>
          <w:b/>
          <w:lang w:eastAsia="en-GB"/>
        </w:rPr>
        <w:t xml:space="preserve"> </w:t>
      </w:r>
      <w:r w:rsidR="00FA3910" w:rsidRPr="00874ABA">
        <w:rPr>
          <w:bCs/>
          <w:lang w:eastAsia="en-GB"/>
        </w:rPr>
        <w:t>Correlation analysis of amyloid PET, plasma p-tau</w:t>
      </w:r>
      <w:r w:rsidR="00FA3910" w:rsidRPr="00874ABA">
        <w:rPr>
          <w:bCs/>
          <w:vertAlign w:val="superscript"/>
          <w:lang w:eastAsia="en-GB"/>
        </w:rPr>
        <w:t>181</w:t>
      </w:r>
      <w:r w:rsidR="00FA3910" w:rsidRPr="00874ABA">
        <w:rPr>
          <w:bCs/>
          <w:lang w:eastAsia="en-GB"/>
        </w:rPr>
        <w:t xml:space="preserve"> and clinical efficacy</w:t>
      </w:r>
      <w:r w:rsidR="00FA3910" w:rsidRPr="00874ABA">
        <w:rPr>
          <w:b/>
          <w:lang w:eastAsia="en-GB"/>
        </w:rPr>
        <w:t xml:space="preserve"> </w:t>
      </w:r>
    </w:p>
    <w:p w14:paraId="515FAB3F" w14:textId="152B0DE0" w:rsidR="00647BAE" w:rsidRPr="00874ABA" w:rsidRDefault="001674E1" w:rsidP="00D62336">
      <w:pPr>
        <w:pStyle w:val="Bulletlevel4"/>
        <w:numPr>
          <w:ilvl w:val="0"/>
          <w:numId w:val="0"/>
        </w:numPr>
        <w:rPr>
          <w:rFonts w:cs="Arial"/>
          <w:b/>
        </w:rPr>
      </w:pPr>
      <w:r w:rsidRPr="00DC48E8">
        <w:rPr>
          <w:b/>
          <w:lang w:val="en-US"/>
        </w:rPr>
        <w:t xml:space="preserve">Supplemental </w:t>
      </w:r>
      <w:r w:rsidR="00647BAE" w:rsidRPr="00DC48E8">
        <w:rPr>
          <w:rFonts w:cs="Arial"/>
          <w:b/>
        </w:rPr>
        <w:t xml:space="preserve">Data Fig. </w:t>
      </w:r>
      <w:r w:rsidR="00D458A1" w:rsidRPr="00DC48E8">
        <w:rPr>
          <w:rFonts w:cs="Arial"/>
          <w:b/>
        </w:rPr>
        <w:t>5</w:t>
      </w:r>
      <w:r w:rsidR="00647BAE" w:rsidRPr="00DC48E8">
        <w:rPr>
          <w:rFonts w:cs="Arial"/>
          <w:b/>
        </w:rPr>
        <w:t xml:space="preserve"> </w:t>
      </w:r>
      <w:r w:rsidR="00647BAE" w:rsidRPr="00DC48E8">
        <w:rPr>
          <w:rFonts w:cs="Arial"/>
          <w:bCs/>
        </w:rPr>
        <w:t>Exploratory biomarker results from EMERGE and ENGAGE</w:t>
      </w:r>
    </w:p>
    <w:bookmarkEnd w:id="0"/>
    <w:p w14:paraId="4344731C" w14:textId="77777777" w:rsidR="00730047" w:rsidRPr="00874ABA" w:rsidRDefault="00730047">
      <w:pPr>
        <w:spacing w:after="160" w:line="259" w:lineRule="auto"/>
        <w:rPr>
          <w:rFonts w:cs="Arial"/>
          <w:b/>
          <w:sz w:val="28"/>
          <w:szCs w:val="24"/>
          <w:lang w:eastAsia="en-US"/>
        </w:rPr>
      </w:pPr>
      <w:r w:rsidRPr="00874ABA">
        <w:rPr>
          <w:rFonts w:cs="Arial"/>
          <w:b/>
          <w:sz w:val="28"/>
          <w:szCs w:val="24"/>
        </w:rPr>
        <w:br w:type="page"/>
      </w:r>
    </w:p>
    <w:p w14:paraId="279E5AE0" w14:textId="07222079" w:rsidR="00085070" w:rsidRPr="00874ABA" w:rsidRDefault="00085070" w:rsidP="00085070">
      <w:pPr>
        <w:pStyle w:val="Bulletlevel4"/>
        <w:numPr>
          <w:ilvl w:val="0"/>
          <w:numId w:val="0"/>
        </w:numPr>
        <w:rPr>
          <w:rFonts w:cs="Arial"/>
          <w:b/>
          <w:sz w:val="28"/>
          <w:szCs w:val="24"/>
        </w:rPr>
      </w:pPr>
      <w:r w:rsidRPr="00874ABA">
        <w:rPr>
          <w:rFonts w:cs="Arial"/>
          <w:b/>
          <w:sz w:val="28"/>
          <w:szCs w:val="24"/>
        </w:rPr>
        <w:lastRenderedPageBreak/>
        <w:t>Supplement 1</w:t>
      </w:r>
    </w:p>
    <w:p w14:paraId="0111168D" w14:textId="77777777" w:rsidR="00085070" w:rsidRPr="00874ABA" w:rsidRDefault="00085070" w:rsidP="00085070">
      <w:pPr>
        <w:pStyle w:val="Bulletlevel4"/>
        <w:numPr>
          <w:ilvl w:val="0"/>
          <w:numId w:val="0"/>
        </w:numPr>
        <w:rPr>
          <w:rFonts w:eastAsiaTheme="minorHAnsi" w:cs="Arial"/>
          <w:b/>
          <w:bCs/>
          <w:sz w:val="24"/>
          <w:szCs w:val="24"/>
          <w:lang w:val="en-US"/>
        </w:rPr>
      </w:pPr>
      <w:r w:rsidRPr="00874ABA">
        <w:rPr>
          <w:rFonts w:eastAsiaTheme="minorHAnsi" w:cs="Arial"/>
          <w:b/>
          <w:bCs/>
          <w:sz w:val="24"/>
          <w:szCs w:val="24"/>
          <w:lang w:val="en-US"/>
        </w:rPr>
        <w:t xml:space="preserve">Inclusion and Exclusion Criteria </w:t>
      </w:r>
    </w:p>
    <w:p w14:paraId="079AC42B" w14:textId="77777777" w:rsidR="00085070" w:rsidRPr="00874ABA" w:rsidRDefault="00085070" w:rsidP="00085070">
      <w:pPr>
        <w:pStyle w:val="Bulletlevel4"/>
        <w:numPr>
          <w:ilvl w:val="0"/>
          <w:numId w:val="0"/>
        </w:numPr>
        <w:rPr>
          <w:rFonts w:cs="Arial"/>
          <w:bCs/>
          <w:sz w:val="24"/>
          <w:szCs w:val="24"/>
        </w:rPr>
      </w:pPr>
    </w:p>
    <w:p w14:paraId="576447CA" w14:textId="77777777" w:rsidR="00085070" w:rsidRPr="00874ABA" w:rsidRDefault="00085070" w:rsidP="00085070">
      <w:pPr>
        <w:pStyle w:val="Bulletlevel4"/>
        <w:numPr>
          <w:ilvl w:val="0"/>
          <w:numId w:val="0"/>
        </w:numPr>
        <w:rPr>
          <w:rFonts w:eastAsiaTheme="minorHAnsi" w:cs="Arial"/>
          <w:b/>
          <w:bCs/>
          <w:sz w:val="24"/>
          <w:szCs w:val="24"/>
          <w:lang w:val="en-US"/>
        </w:rPr>
      </w:pPr>
      <w:r w:rsidRPr="00874ABA">
        <w:rPr>
          <w:rFonts w:eastAsiaTheme="minorHAnsi" w:cs="Arial"/>
          <w:b/>
          <w:bCs/>
          <w:sz w:val="24"/>
          <w:szCs w:val="24"/>
          <w:lang w:val="en-US"/>
        </w:rPr>
        <w:t>Inclusion Criteria (verbatim from Study Protocol)</w:t>
      </w:r>
    </w:p>
    <w:p w14:paraId="3D22EF21" w14:textId="77777777" w:rsidR="00085070" w:rsidRPr="00874ABA" w:rsidRDefault="00085070" w:rsidP="00085070">
      <w:pPr>
        <w:pStyle w:val="Bulletlevel4"/>
        <w:numPr>
          <w:ilvl w:val="0"/>
          <w:numId w:val="0"/>
        </w:numPr>
        <w:rPr>
          <w:rFonts w:eastAsiaTheme="minorHAnsi" w:cs="Arial"/>
          <w:sz w:val="24"/>
          <w:szCs w:val="24"/>
          <w:lang w:val="en-US"/>
        </w:rPr>
      </w:pPr>
      <w:r w:rsidRPr="00874ABA">
        <w:rPr>
          <w:rFonts w:eastAsiaTheme="minorHAnsi" w:cs="Arial"/>
          <w:sz w:val="24"/>
          <w:szCs w:val="24"/>
          <w:lang w:val="en-US"/>
        </w:rPr>
        <w:t>To be eligible to participate in this study, candidates must meet the following eligibility criteria at Screening or at the timepoint specified in the individual eligibility criterion listed:</w:t>
      </w:r>
    </w:p>
    <w:p w14:paraId="003CA5F3" w14:textId="77777777" w:rsidR="00085070" w:rsidRPr="00874ABA" w:rsidRDefault="00085070" w:rsidP="00071479">
      <w:pPr>
        <w:pStyle w:val="Bulletlevel4"/>
        <w:numPr>
          <w:ilvl w:val="0"/>
          <w:numId w:val="7"/>
        </w:numPr>
        <w:rPr>
          <w:rFonts w:eastAsiaTheme="minorHAnsi" w:cs="Arial"/>
          <w:sz w:val="24"/>
          <w:szCs w:val="24"/>
          <w:lang w:val="en-US"/>
        </w:rPr>
      </w:pPr>
      <w:r w:rsidRPr="00874ABA">
        <w:rPr>
          <w:rFonts w:eastAsiaTheme="minorHAnsi" w:cs="Arial"/>
          <w:sz w:val="24"/>
          <w:szCs w:val="24"/>
          <w:lang w:val="en-US"/>
        </w:rPr>
        <w:t>Ability to understand the purpose and risks of the study and provide signed and dated informed consent and authorization to use confidential health information in accordance with national and local subject privacy regulations.</w:t>
      </w:r>
    </w:p>
    <w:p w14:paraId="31B71067" w14:textId="77777777" w:rsidR="00085070" w:rsidRPr="00874ABA" w:rsidRDefault="00085070" w:rsidP="00071479">
      <w:pPr>
        <w:pStyle w:val="Bulletlevel4"/>
        <w:numPr>
          <w:ilvl w:val="0"/>
          <w:numId w:val="7"/>
        </w:numPr>
        <w:rPr>
          <w:rFonts w:eastAsiaTheme="minorHAnsi" w:cs="Arial"/>
          <w:sz w:val="24"/>
          <w:szCs w:val="24"/>
          <w:lang w:val="en-US"/>
        </w:rPr>
      </w:pPr>
      <w:r w:rsidRPr="00874ABA">
        <w:rPr>
          <w:rFonts w:eastAsiaTheme="minorHAnsi" w:cs="Arial"/>
          <w:sz w:val="24"/>
          <w:szCs w:val="24"/>
          <w:lang w:val="en-US"/>
        </w:rPr>
        <w:t>Aged 50 to 85 years old, inclusive, at the time of informed consent.</w:t>
      </w:r>
    </w:p>
    <w:p w14:paraId="56FD10F1" w14:textId="77777777" w:rsidR="00085070" w:rsidRPr="00874ABA" w:rsidRDefault="00085070" w:rsidP="00071479">
      <w:pPr>
        <w:pStyle w:val="Bulletlevel4"/>
        <w:numPr>
          <w:ilvl w:val="0"/>
          <w:numId w:val="7"/>
        </w:numPr>
        <w:rPr>
          <w:rFonts w:eastAsiaTheme="minorHAnsi" w:cs="Arial"/>
          <w:sz w:val="24"/>
          <w:szCs w:val="24"/>
          <w:lang w:val="en-US"/>
        </w:rPr>
      </w:pPr>
      <w:r w:rsidRPr="00874ABA">
        <w:rPr>
          <w:rFonts w:eastAsiaTheme="minorHAnsi" w:cs="Arial"/>
          <w:sz w:val="24"/>
          <w:szCs w:val="24"/>
          <w:lang w:val="en-US"/>
        </w:rPr>
        <w:t>All women of childbearing potential and all men must practice highly effective contraception during the study and for 24 weeks after their last dose of study treatment.</w:t>
      </w:r>
    </w:p>
    <w:p w14:paraId="457FC764" w14:textId="77777777" w:rsidR="00085070" w:rsidRPr="00874ABA" w:rsidRDefault="00085070" w:rsidP="00071479">
      <w:pPr>
        <w:pStyle w:val="Bulletlevel4"/>
        <w:numPr>
          <w:ilvl w:val="0"/>
          <w:numId w:val="7"/>
        </w:numPr>
        <w:rPr>
          <w:rFonts w:eastAsiaTheme="minorHAnsi" w:cs="Arial"/>
          <w:sz w:val="24"/>
          <w:szCs w:val="24"/>
          <w:lang w:val="en-US"/>
        </w:rPr>
      </w:pPr>
      <w:r w:rsidRPr="00874ABA">
        <w:rPr>
          <w:rFonts w:eastAsiaTheme="minorHAnsi" w:cs="Arial"/>
          <w:sz w:val="24"/>
          <w:szCs w:val="24"/>
          <w:lang w:val="en-US"/>
        </w:rPr>
        <w:t>Must have at least 6 years of education or work experience to exclude mental deficits other than MCI or mild AD.</w:t>
      </w:r>
    </w:p>
    <w:p w14:paraId="52111900" w14:textId="77777777" w:rsidR="00085070" w:rsidRPr="00874ABA" w:rsidRDefault="00085070" w:rsidP="00071479">
      <w:pPr>
        <w:pStyle w:val="Bulletlevel4"/>
        <w:numPr>
          <w:ilvl w:val="0"/>
          <w:numId w:val="7"/>
        </w:numPr>
        <w:rPr>
          <w:rFonts w:eastAsiaTheme="minorHAnsi" w:cs="Arial"/>
          <w:sz w:val="24"/>
          <w:szCs w:val="24"/>
          <w:lang w:val="en-US"/>
        </w:rPr>
      </w:pPr>
      <w:r w:rsidRPr="00874ABA">
        <w:rPr>
          <w:rFonts w:eastAsiaTheme="minorHAnsi" w:cs="Arial"/>
          <w:sz w:val="24"/>
          <w:szCs w:val="24"/>
          <w:lang w:val="en-US"/>
        </w:rPr>
        <w:t>Must have a positive amyloid PET scan. Previously obtained PET scan (within 12 months of Screening) is permissible for subjects not participating in the amyloid PET sub-study. Previous PET scan images must be submitted to the central imaging vendor to confirm study inclusion criteria are met.</w:t>
      </w:r>
    </w:p>
    <w:p w14:paraId="74F8EE63" w14:textId="77777777" w:rsidR="00085070" w:rsidRPr="00874ABA" w:rsidRDefault="00085070" w:rsidP="00071479">
      <w:pPr>
        <w:pStyle w:val="Bulletlevel4"/>
        <w:numPr>
          <w:ilvl w:val="0"/>
          <w:numId w:val="7"/>
        </w:numPr>
        <w:rPr>
          <w:rFonts w:eastAsiaTheme="minorHAnsi" w:cs="Arial"/>
          <w:sz w:val="24"/>
          <w:szCs w:val="24"/>
          <w:lang w:val="en-US"/>
        </w:rPr>
      </w:pPr>
      <w:r w:rsidRPr="00874ABA">
        <w:rPr>
          <w:rFonts w:eastAsiaTheme="minorHAnsi" w:cs="Arial"/>
          <w:sz w:val="24"/>
          <w:szCs w:val="24"/>
          <w:lang w:val="en-US"/>
        </w:rPr>
        <w:t xml:space="preserve">Must meet </w:t>
      </w:r>
      <w:proofErr w:type="gramStart"/>
      <w:r w:rsidRPr="00874ABA">
        <w:rPr>
          <w:rFonts w:eastAsiaTheme="minorHAnsi" w:cs="Arial"/>
          <w:sz w:val="24"/>
          <w:szCs w:val="24"/>
          <w:lang w:val="en-US"/>
        </w:rPr>
        <w:t>all of</w:t>
      </w:r>
      <w:proofErr w:type="gramEnd"/>
      <w:r w:rsidRPr="00874ABA">
        <w:rPr>
          <w:rFonts w:eastAsiaTheme="minorHAnsi" w:cs="Arial"/>
          <w:sz w:val="24"/>
          <w:szCs w:val="24"/>
          <w:lang w:val="en-US"/>
        </w:rPr>
        <w:t xml:space="preserve"> the following clinical criteria for MCI due to AD or mild AD according to NIA-AA criteria, and must have:</w:t>
      </w:r>
    </w:p>
    <w:p w14:paraId="0CDE408F" w14:textId="77777777" w:rsidR="00085070" w:rsidRPr="00874ABA" w:rsidRDefault="00085070" w:rsidP="00071479">
      <w:pPr>
        <w:pStyle w:val="Bulletlevel4"/>
        <w:numPr>
          <w:ilvl w:val="1"/>
          <w:numId w:val="7"/>
        </w:numPr>
        <w:ind w:left="900" w:hanging="180"/>
        <w:rPr>
          <w:rFonts w:eastAsiaTheme="minorHAnsi" w:cs="Arial"/>
          <w:sz w:val="24"/>
          <w:szCs w:val="24"/>
          <w:lang w:val="en-US"/>
        </w:rPr>
      </w:pPr>
      <w:r w:rsidRPr="00874ABA">
        <w:rPr>
          <w:rFonts w:eastAsiaTheme="minorHAnsi" w:cs="Arial"/>
          <w:sz w:val="24"/>
          <w:szCs w:val="24"/>
          <w:lang w:val="en-US"/>
        </w:rPr>
        <w:t>A CDR global score of 0.5.</w:t>
      </w:r>
    </w:p>
    <w:p w14:paraId="455F5357" w14:textId="77777777" w:rsidR="00085070" w:rsidRPr="00874ABA" w:rsidRDefault="00085070" w:rsidP="00071479">
      <w:pPr>
        <w:pStyle w:val="Bulletlevel4"/>
        <w:numPr>
          <w:ilvl w:val="1"/>
          <w:numId w:val="7"/>
        </w:numPr>
        <w:ind w:left="900" w:hanging="180"/>
        <w:rPr>
          <w:rFonts w:eastAsiaTheme="minorHAnsi" w:cs="Arial"/>
          <w:sz w:val="24"/>
          <w:szCs w:val="24"/>
          <w:lang w:val="en-US"/>
        </w:rPr>
      </w:pPr>
      <w:r w:rsidRPr="00874ABA">
        <w:rPr>
          <w:rFonts w:eastAsiaTheme="minorHAnsi" w:cs="Arial"/>
          <w:sz w:val="24"/>
          <w:szCs w:val="24"/>
          <w:lang w:val="en-US"/>
        </w:rPr>
        <w:t>An RBANS score of 85 or lower indicative of objective cognitive impairment (based upon the Delayed Memory Index score).</w:t>
      </w:r>
    </w:p>
    <w:p w14:paraId="750CFC94" w14:textId="77777777" w:rsidR="00085070" w:rsidRPr="00874ABA" w:rsidRDefault="00085070" w:rsidP="00071479">
      <w:pPr>
        <w:pStyle w:val="Bulletlevel4"/>
        <w:numPr>
          <w:ilvl w:val="1"/>
          <w:numId w:val="7"/>
        </w:numPr>
        <w:ind w:left="900" w:hanging="180"/>
        <w:rPr>
          <w:rFonts w:eastAsiaTheme="minorHAnsi" w:cs="Arial"/>
          <w:sz w:val="24"/>
          <w:szCs w:val="24"/>
          <w:lang w:val="en-US"/>
        </w:rPr>
      </w:pPr>
      <w:r w:rsidRPr="00874ABA">
        <w:rPr>
          <w:rFonts w:eastAsiaTheme="minorHAnsi" w:cs="Arial"/>
          <w:sz w:val="24"/>
          <w:szCs w:val="24"/>
          <w:lang w:val="en-US"/>
        </w:rPr>
        <w:t>An MMSE score between 24 and 30 (inclusive).</w:t>
      </w:r>
    </w:p>
    <w:p w14:paraId="0E42C104" w14:textId="13CEE30F" w:rsidR="00085070" w:rsidRPr="00874ABA" w:rsidRDefault="00085070" w:rsidP="00071479">
      <w:pPr>
        <w:pStyle w:val="Bulletlevel4"/>
        <w:numPr>
          <w:ilvl w:val="0"/>
          <w:numId w:val="7"/>
        </w:numPr>
        <w:rPr>
          <w:rFonts w:eastAsiaTheme="minorHAnsi" w:cs="Arial"/>
          <w:sz w:val="24"/>
          <w:szCs w:val="24"/>
          <w:lang w:val="en-US"/>
        </w:rPr>
      </w:pPr>
      <w:r w:rsidRPr="00874ABA">
        <w:rPr>
          <w:rFonts w:eastAsiaTheme="minorHAnsi" w:cs="Arial"/>
          <w:sz w:val="24"/>
          <w:szCs w:val="24"/>
          <w:lang w:val="en-US"/>
        </w:rPr>
        <w:t xml:space="preserve">Apart from a clinical diagnosis of early AD, the subject must be in good health as determined by the </w:t>
      </w:r>
      <w:r w:rsidR="0005764C">
        <w:rPr>
          <w:rFonts w:eastAsiaTheme="minorHAnsi" w:cs="Arial"/>
          <w:sz w:val="24"/>
          <w:szCs w:val="24"/>
          <w:lang w:val="en-US"/>
        </w:rPr>
        <w:t>i</w:t>
      </w:r>
      <w:r w:rsidRPr="00874ABA">
        <w:rPr>
          <w:rFonts w:eastAsiaTheme="minorHAnsi" w:cs="Arial"/>
          <w:sz w:val="24"/>
          <w:szCs w:val="24"/>
          <w:lang w:val="en-US"/>
        </w:rPr>
        <w:t>nvestigator, based on medical history and screening assessments.</w:t>
      </w:r>
    </w:p>
    <w:p w14:paraId="31F364AF" w14:textId="77777777" w:rsidR="00085070" w:rsidRPr="00874ABA" w:rsidRDefault="00085070" w:rsidP="00071479">
      <w:pPr>
        <w:pStyle w:val="Bulletlevel4"/>
        <w:numPr>
          <w:ilvl w:val="0"/>
          <w:numId w:val="7"/>
        </w:numPr>
        <w:rPr>
          <w:rFonts w:eastAsiaTheme="minorHAnsi" w:cs="Arial"/>
          <w:sz w:val="24"/>
          <w:szCs w:val="24"/>
          <w:lang w:val="en-US"/>
        </w:rPr>
      </w:pPr>
      <w:r w:rsidRPr="00874ABA">
        <w:rPr>
          <w:rFonts w:eastAsiaTheme="minorHAnsi" w:cs="Arial"/>
          <w:sz w:val="24"/>
          <w:szCs w:val="24"/>
          <w:lang w:val="en-US"/>
        </w:rPr>
        <w:t xml:space="preserve">Must consent to </w:t>
      </w:r>
      <w:r w:rsidRPr="00874ABA">
        <w:rPr>
          <w:rFonts w:eastAsiaTheme="minorHAnsi" w:cs="Arial"/>
          <w:i/>
          <w:iCs/>
          <w:sz w:val="24"/>
          <w:szCs w:val="24"/>
          <w:lang w:val="en-US"/>
        </w:rPr>
        <w:t>APOE</w:t>
      </w:r>
      <w:r w:rsidRPr="00874ABA">
        <w:rPr>
          <w:rFonts w:eastAsiaTheme="minorHAnsi" w:cs="Arial"/>
          <w:sz w:val="24"/>
          <w:szCs w:val="24"/>
          <w:lang w:val="en-US"/>
        </w:rPr>
        <w:t xml:space="preserve"> genotyping.</w:t>
      </w:r>
    </w:p>
    <w:p w14:paraId="616A6A2F" w14:textId="3FDD2194" w:rsidR="00085070" w:rsidRPr="00874ABA" w:rsidRDefault="00085070" w:rsidP="00071479">
      <w:pPr>
        <w:pStyle w:val="Bulletlevel4"/>
        <w:numPr>
          <w:ilvl w:val="0"/>
          <w:numId w:val="7"/>
        </w:numPr>
        <w:rPr>
          <w:rFonts w:eastAsiaTheme="minorHAnsi" w:cs="Arial"/>
          <w:sz w:val="24"/>
          <w:szCs w:val="24"/>
          <w:lang w:val="en-US"/>
        </w:rPr>
      </w:pPr>
      <w:r w:rsidRPr="00874ABA">
        <w:rPr>
          <w:rFonts w:eastAsiaTheme="minorHAnsi" w:cs="Arial"/>
          <w:sz w:val="24"/>
          <w:szCs w:val="24"/>
          <w:lang w:val="en-US"/>
        </w:rPr>
        <w:t xml:space="preserve">Has one informant/care partner who, in the </w:t>
      </w:r>
      <w:r w:rsidR="0005764C">
        <w:rPr>
          <w:rFonts w:eastAsiaTheme="minorHAnsi" w:cs="Arial"/>
          <w:sz w:val="24"/>
          <w:szCs w:val="24"/>
          <w:lang w:val="en-US"/>
        </w:rPr>
        <w:t>i</w:t>
      </w:r>
      <w:r w:rsidRPr="00874ABA">
        <w:rPr>
          <w:rFonts w:eastAsiaTheme="minorHAnsi" w:cs="Arial"/>
          <w:sz w:val="24"/>
          <w:szCs w:val="24"/>
          <w:lang w:val="en-US"/>
        </w:rPr>
        <w:t xml:space="preserve">nvestigator’s opinion, has frequent and sufficient contact with the subject as to be able to provide accurate information about the subject’s cognitive and functional abilities. The informant/care partner must minimally be available by phone to provide information to the </w:t>
      </w:r>
      <w:r w:rsidR="0005764C">
        <w:rPr>
          <w:rFonts w:eastAsiaTheme="minorHAnsi" w:cs="Arial"/>
          <w:sz w:val="24"/>
          <w:szCs w:val="24"/>
          <w:lang w:val="en-US"/>
        </w:rPr>
        <w:t>i</w:t>
      </w:r>
      <w:r w:rsidRPr="00874ABA">
        <w:rPr>
          <w:rFonts w:eastAsiaTheme="minorHAnsi" w:cs="Arial"/>
          <w:sz w:val="24"/>
          <w:szCs w:val="24"/>
          <w:lang w:val="en-US"/>
        </w:rPr>
        <w:t>nvestigator and study staff about the subject and agrees to attend in person clinic visits that require partner input for scale completion. An informant/care partner should be available for the duration of the study, and the use of the same informant/care partner for the duration of the study is encouraged.</w:t>
      </w:r>
    </w:p>
    <w:p w14:paraId="4A787A65" w14:textId="77777777" w:rsidR="00085070" w:rsidRPr="00874ABA" w:rsidRDefault="00085070" w:rsidP="00085070">
      <w:pPr>
        <w:pStyle w:val="Bulletlevel4"/>
        <w:numPr>
          <w:ilvl w:val="0"/>
          <w:numId w:val="0"/>
        </w:numPr>
        <w:rPr>
          <w:rFonts w:eastAsiaTheme="minorHAnsi" w:cs="Arial"/>
          <w:sz w:val="24"/>
          <w:szCs w:val="24"/>
          <w:lang w:val="en-US"/>
        </w:rPr>
      </w:pPr>
    </w:p>
    <w:p w14:paraId="0AFC4F0F" w14:textId="77777777" w:rsidR="00085070" w:rsidRPr="00874ABA" w:rsidRDefault="00085070" w:rsidP="00085070">
      <w:pPr>
        <w:pStyle w:val="Bulletlevel4"/>
        <w:numPr>
          <w:ilvl w:val="0"/>
          <w:numId w:val="0"/>
        </w:numPr>
        <w:rPr>
          <w:rFonts w:eastAsiaTheme="minorHAnsi" w:cs="Arial"/>
          <w:b/>
          <w:bCs/>
          <w:sz w:val="24"/>
          <w:szCs w:val="24"/>
          <w:lang w:val="en-US"/>
        </w:rPr>
      </w:pPr>
      <w:r w:rsidRPr="00874ABA">
        <w:rPr>
          <w:rFonts w:eastAsiaTheme="minorHAnsi" w:cs="Arial"/>
          <w:b/>
          <w:bCs/>
          <w:sz w:val="24"/>
          <w:szCs w:val="24"/>
          <w:lang w:val="en-US"/>
        </w:rPr>
        <w:t>Exclusion Criteria (verbatim from Study Protocol)</w:t>
      </w:r>
    </w:p>
    <w:p w14:paraId="0C71A82D" w14:textId="77777777" w:rsidR="00085070" w:rsidRPr="00874ABA" w:rsidRDefault="00085070" w:rsidP="00085070">
      <w:pPr>
        <w:pStyle w:val="Bulletlevel4"/>
        <w:numPr>
          <w:ilvl w:val="0"/>
          <w:numId w:val="0"/>
        </w:numPr>
        <w:rPr>
          <w:rFonts w:eastAsiaTheme="minorHAnsi" w:cs="Arial"/>
          <w:sz w:val="24"/>
          <w:szCs w:val="24"/>
          <w:lang w:val="en-US"/>
        </w:rPr>
      </w:pPr>
      <w:r w:rsidRPr="00874ABA">
        <w:rPr>
          <w:rFonts w:eastAsiaTheme="minorHAnsi" w:cs="Arial"/>
          <w:sz w:val="24"/>
          <w:szCs w:val="24"/>
          <w:lang w:val="en-US"/>
        </w:rPr>
        <w:lastRenderedPageBreak/>
        <w:t>Candidates will be excluded from study entry if any of the following exclusion criteria exist at Screening, or at the timepoint specified in the individual criterion listed:</w:t>
      </w:r>
    </w:p>
    <w:p w14:paraId="7F4D82E3" w14:textId="77777777" w:rsidR="00085070" w:rsidRPr="00874ABA" w:rsidRDefault="00085070" w:rsidP="00085070">
      <w:pPr>
        <w:pStyle w:val="Bulletlevel4"/>
        <w:numPr>
          <w:ilvl w:val="0"/>
          <w:numId w:val="0"/>
        </w:numPr>
        <w:rPr>
          <w:rFonts w:eastAsiaTheme="minorHAnsi" w:cs="Arial"/>
          <w:i/>
          <w:iCs/>
          <w:sz w:val="24"/>
          <w:szCs w:val="24"/>
          <w:lang w:val="en-US"/>
        </w:rPr>
      </w:pPr>
      <w:r w:rsidRPr="00874ABA">
        <w:rPr>
          <w:rFonts w:eastAsiaTheme="minorHAnsi" w:cs="Arial"/>
          <w:i/>
          <w:iCs/>
          <w:sz w:val="24"/>
          <w:szCs w:val="24"/>
          <w:lang w:val="en-US"/>
        </w:rPr>
        <w:t>Medical History</w:t>
      </w:r>
    </w:p>
    <w:p w14:paraId="5BA335AD" w14:textId="2BC743CE" w:rsidR="00085070" w:rsidRPr="00874ABA" w:rsidRDefault="00085070" w:rsidP="00071479">
      <w:pPr>
        <w:pStyle w:val="ListParagraph"/>
        <w:numPr>
          <w:ilvl w:val="0"/>
          <w:numId w:val="8"/>
        </w:numPr>
        <w:autoSpaceDE w:val="0"/>
        <w:autoSpaceDN w:val="0"/>
        <w:adjustRightInd w:val="0"/>
        <w:spacing w:line="360" w:lineRule="auto"/>
        <w:rPr>
          <w:rFonts w:ascii="Arial" w:hAnsi="Arial" w:cs="Arial"/>
          <w:sz w:val="24"/>
          <w:szCs w:val="24"/>
        </w:rPr>
      </w:pPr>
      <w:r w:rsidRPr="00874ABA">
        <w:rPr>
          <w:rFonts w:ascii="Arial" w:hAnsi="Arial" w:cs="Arial"/>
          <w:sz w:val="24"/>
          <w:szCs w:val="24"/>
        </w:rPr>
        <w:t xml:space="preserve">Any uncontrolled medical or neurological/neurodegenerative condition (other than AD) that, in the opinion of the </w:t>
      </w:r>
      <w:r w:rsidR="0005764C">
        <w:rPr>
          <w:rFonts w:ascii="Arial" w:hAnsi="Arial" w:cs="Arial"/>
          <w:sz w:val="24"/>
          <w:szCs w:val="24"/>
        </w:rPr>
        <w:t>i</w:t>
      </w:r>
      <w:r w:rsidRPr="00874ABA">
        <w:rPr>
          <w:rFonts w:ascii="Arial" w:hAnsi="Arial" w:cs="Arial"/>
          <w:sz w:val="24"/>
          <w:szCs w:val="24"/>
        </w:rPr>
        <w:t>nvestigator, might be a contributing cause of the subject’s cognitive impairment (e.g., substance abuse, vitamin B</w:t>
      </w:r>
      <w:r w:rsidRPr="00874ABA">
        <w:rPr>
          <w:rFonts w:ascii="Arial" w:hAnsi="Arial" w:cs="Arial"/>
          <w:sz w:val="24"/>
          <w:szCs w:val="24"/>
          <w:vertAlign w:val="subscript"/>
        </w:rPr>
        <w:t>12</w:t>
      </w:r>
      <w:r w:rsidRPr="00874ABA">
        <w:rPr>
          <w:rFonts w:ascii="Arial" w:hAnsi="Arial" w:cs="Arial"/>
          <w:sz w:val="24"/>
          <w:szCs w:val="24"/>
        </w:rPr>
        <w:t xml:space="preserve"> deficiency, abnormal thyroid function, stroke or other cerebrovascular condition, Lewy body dementia, frontotemporal dementia, head trauma).</w:t>
      </w:r>
    </w:p>
    <w:p w14:paraId="1F4F0764" w14:textId="77777777" w:rsidR="00085070" w:rsidRPr="00874ABA" w:rsidRDefault="00085070" w:rsidP="00071479">
      <w:pPr>
        <w:pStyle w:val="ListParagraph"/>
        <w:numPr>
          <w:ilvl w:val="0"/>
          <w:numId w:val="8"/>
        </w:numPr>
        <w:autoSpaceDE w:val="0"/>
        <w:autoSpaceDN w:val="0"/>
        <w:adjustRightInd w:val="0"/>
        <w:spacing w:line="360" w:lineRule="auto"/>
        <w:rPr>
          <w:rFonts w:ascii="Arial" w:hAnsi="Arial" w:cs="Arial"/>
          <w:sz w:val="24"/>
          <w:szCs w:val="24"/>
        </w:rPr>
      </w:pPr>
      <w:r w:rsidRPr="00874ABA">
        <w:rPr>
          <w:rFonts w:ascii="Arial" w:hAnsi="Arial" w:cs="Arial"/>
          <w:sz w:val="24"/>
          <w:szCs w:val="24"/>
        </w:rPr>
        <w:t>Clinically significant unstable psychiatric illness (e.g., uncontrolled major depression, uncontrolled schizophrenia, uncontrolled bipolar affective disorder) within 6 months prior to Screening.</w:t>
      </w:r>
    </w:p>
    <w:p w14:paraId="35DB3D21" w14:textId="77777777" w:rsidR="00085070" w:rsidRPr="00874ABA" w:rsidRDefault="00085070" w:rsidP="00071479">
      <w:pPr>
        <w:pStyle w:val="ListParagraph"/>
        <w:numPr>
          <w:ilvl w:val="0"/>
          <w:numId w:val="8"/>
        </w:numPr>
        <w:autoSpaceDE w:val="0"/>
        <w:autoSpaceDN w:val="0"/>
        <w:adjustRightInd w:val="0"/>
        <w:spacing w:line="360" w:lineRule="auto"/>
        <w:rPr>
          <w:rFonts w:ascii="Arial" w:hAnsi="Arial" w:cs="Arial"/>
          <w:sz w:val="24"/>
          <w:szCs w:val="24"/>
        </w:rPr>
      </w:pPr>
      <w:r w:rsidRPr="00874ABA">
        <w:rPr>
          <w:rFonts w:ascii="Arial" w:hAnsi="Arial" w:cs="Arial"/>
          <w:sz w:val="24"/>
          <w:szCs w:val="24"/>
        </w:rPr>
        <w:t>Transient ischemic attack or stroke or any unexplained loss of consciousness within 1 year prior to Screening.</w:t>
      </w:r>
    </w:p>
    <w:p w14:paraId="36C4DE80" w14:textId="77777777" w:rsidR="00085070" w:rsidRPr="00874ABA" w:rsidRDefault="00085070" w:rsidP="00071479">
      <w:pPr>
        <w:pStyle w:val="ListParagraph"/>
        <w:numPr>
          <w:ilvl w:val="0"/>
          <w:numId w:val="8"/>
        </w:numPr>
        <w:autoSpaceDE w:val="0"/>
        <w:autoSpaceDN w:val="0"/>
        <w:adjustRightInd w:val="0"/>
        <w:spacing w:line="360" w:lineRule="auto"/>
        <w:rPr>
          <w:rFonts w:ascii="Arial" w:hAnsi="Arial" w:cs="Arial"/>
          <w:sz w:val="24"/>
          <w:szCs w:val="24"/>
        </w:rPr>
      </w:pPr>
      <w:r w:rsidRPr="00874ABA">
        <w:rPr>
          <w:rFonts w:ascii="Arial" w:hAnsi="Arial" w:cs="Arial"/>
          <w:sz w:val="24"/>
          <w:szCs w:val="24"/>
        </w:rPr>
        <w:t>Brain MRI performed at Screening (per centrally read MRI) that shows evidence of any of the following:</w:t>
      </w:r>
    </w:p>
    <w:p w14:paraId="3998A13A" w14:textId="77777777" w:rsidR="00085070" w:rsidRPr="00874ABA" w:rsidRDefault="00085070" w:rsidP="00071479">
      <w:pPr>
        <w:pStyle w:val="ListParagraph"/>
        <w:numPr>
          <w:ilvl w:val="1"/>
          <w:numId w:val="8"/>
        </w:numPr>
        <w:autoSpaceDE w:val="0"/>
        <w:autoSpaceDN w:val="0"/>
        <w:adjustRightInd w:val="0"/>
        <w:spacing w:line="360" w:lineRule="auto"/>
        <w:ind w:left="630" w:hanging="270"/>
        <w:rPr>
          <w:rFonts w:ascii="Arial" w:hAnsi="Arial" w:cs="Arial"/>
          <w:sz w:val="24"/>
          <w:szCs w:val="24"/>
        </w:rPr>
      </w:pPr>
      <w:r w:rsidRPr="00874ABA">
        <w:rPr>
          <w:rFonts w:ascii="Arial" w:hAnsi="Arial" w:cs="Arial"/>
          <w:sz w:val="24"/>
          <w:szCs w:val="24"/>
        </w:rPr>
        <w:t>Acute or sub-acute hemorrhage.</w:t>
      </w:r>
    </w:p>
    <w:p w14:paraId="2F6E07E9" w14:textId="77777777" w:rsidR="00085070" w:rsidRPr="00874ABA" w:rsidRDefault="00085070" w:rsidP="00071479">
      <w:pPr>
        <w:pStyle w:val="ListParagraph"/>
        <w:numPr>
          <w:ilvl w:val="1"/>
          <w:numId w:val="8"/>
        </w:numPr>
        <w:autoSpaceDE w:val="0"/>
        <w:autoSpaceDN w:val="0"/>
        <w:adjustRightInd w:val="0"/>
        <w:spacing w:line="360" w:lineRule="auto"/>
        <w:ind w:left="630" w:hanging="270"/>
        <w:rPr>
          <w:rFonts w:ascii="Arial" w:hAnsi="Arial" w:cs="Arial"/>
          <w:sz w:val="24"/>
          <w:szCs w:val="24"/>
        </w:rPr>
      </w:pPr>
      <w:r w:rsidRPr="00874ABA">
        <w:rPr>
          <w:rFonts w:ascii="Arial" w:hAnsi="Arial" w:cs="Arial"/>
          <w:sz w:val="24"/>
          <w:szCs w:val="24"/>
        </w:rPr>
        <w:t>Prior macrohemorrhage (defined as &gt;1 cm in diameter on T2* sequence) or prior subarachnoid hemorrhage unless it can be documented that the finding is not due to an underlying structural or vascular abnormality (i.e., finding does not suggest subject is at risk of recurrent hemorrhage).</w:t>
      </w:r>
    </w:p>
    <w:p w14:paraId="2B324751" w14:textId="77777777" w:rsidR="00085070" w:rsidRPr="00874ABA" w:rsidRDefault="00085070" w:rsidP="00071479">
      <w:pPr>
        <w:pStyle w:val="ListParagraph"/>
        <w:numPr>
          <w:ilvl w:val="1"/>
          <w:numId w:val="8"/>
        </w:numPr>
        <w:autoSpaceDE w:val="0"/>
        <w:autoSpaceDN w:val="0"/>
        <w:adjustRightInd w:val="0"/>
        <w:spacing w:line="360" w:lineRule="auto"/>
        <w:ind w:left="630" w:hanging="270"/>
        <w:rPr>
          <w:rFonts w:ascii="Arial" w:hAnsi="Arial" w:cs="Arial"/>
          <w:sz w:val="24"/>
          <w:szCs w:val="24"/>
        </w:rPr>
      </w:pPr>
      <w:r w:rsidRPr="00874ABA">
        <w:rPr>
          <w:rFonts w:ascii="Arial" w:hAnsi="Arial" w:cs="Arial"/>
          <w:sz w:val="24"/>
          <w:szCs w:val="24"/>
        </w:rPr>
        <w:t xml:space="preserve">Greater than 4 microhemorrhages (defined as </w:t>
      </w:r>
      <w:r w:rsidRPr="00874ABA">
        <w:rPr>
          <w:rFonts w:ascii="Symbol" w:eastAsia="Symbol" w:hAnsi="Symbol" w:cs="Symbol"/>
          <w:sz w:val="24"/>
          <w:szCs w:val="24"/>
        </w:rPr>
        <w:t>£</w:t>
      </w:r>
      <w:r w:rsidRPr="00874ABA">
        <w:rPr>
          <w:rFonts w:ascii="Arial" w:hAnsi="Arial" w:cs="Arial"/>
          <w:sz w:val="24"/>
          <w:szCs w:val="24"/>
        </w:rPr>
        <w:t xml:space="preserve"> 1 cm in diameter on T2* sequence).</w:t>
      </w:r>
    </w:p>
    <w:p w14:paraId="42E6C7D1" w14:textId="77777777" w:rsidR="00085070" w:rsidRPr="00874ABA" w:rsidRDefault="00085070" w:rsidP="00071479">
      <w:pPr>
        <w:pStyle w:val="ListParagraph"/>
        <w:numPr>
          <w:ilvl w:val="1"/>
          <w:numId w:val="8"/>
        </w:numPr>
        <w:autoSpaceDE w:val="0"/>
        <w:autoSpaceDN w:val="0"/>
        <w:adjustRightInd w:val="0"/>
        <w:spacing w:line="360" w:lineRule="auto"/>
        <w:ind w:left="630" w:hanging="270"/>
        <w:rPr>
          <w:rFonts w:ascii="Arial" w:hAnsi="Arial" w:cs="Arial"/>
          <w:sz w:val="24"/>
          <w:szCs w:val="24"/>
        </w:rPr>
      </w:pPr>
      <w:r w:rsidRPr="00874ABA">
        <w:rPr>
          <w:rFonts w:ascii="Arial" w:hAnsi="Arial" w:cs="Arial"/>
          <w:sz w:val="24"/>
          <w:szCs w:val="24"/>
        </w:rPr>
        <w:t>Cortical infarct (defined as &gt;1.5 cm in diameter; irrespective of anatomic location).</w:t>
      </w:r>
    </w:p>
    <w:p w14:paraId="2A8C6B27" w14:textId="77777777" w:rsidR="00085070" w:rsidRPr="00874ABA" w:rsidRDefault="00085070" w:rsidP="00071479">
      <w:pPr>
        <w:pStyle w:val="ListParagraph"/>
        <w:numPr>
          <w:ilvl w:val="1"/>
          <w:numId w:val="8"/>
        </w:numPr>
        <w:autoSpaceDE w:val="0"/>
        <w:autoSpaceDN w:val="0"/>
        <w:adjustRightInd w:val="0"/>
        <w:spacing w:line="360" w:lineRule="auto"/>
        <w:ind w:left="630" w:hanging="270"/>
        <w:rPr>
          <w:rFonts w:ascii="Arial" w:hAnsi="Arial" w:cs="Arial"/>
          <w:sz w:val="24"/>
          <w:szCs w:val="24"/>
        </w:rPr>
      </w:pPr>
      <w:r w:rsidRPr="00874ABA">
        <w:rPr>
          <w:rFonts w:ascii="Arial" w:hAnsi="Arial" w:cs="Arial"/>
          <w:sz w:val="24"/>
          <w:szCs w:val="24"/>
        </w:rPr>
        <w:t xml:space="preserve">&gt;1 lacunar infarct (defined as </w:t>
      </w:r>
      <w:r w:rsidRPr="00874ABA">
        <w:rPr>
          <w:rFonts w:ascii="Symbol" w:eastAsia="Symbol" w:hAnsi="Symbol" w:cs="Symbol"/>
          <w:sz w:val="24"/>
          <w:szCs w:val="24"/>
        </w:rPr>
        <w:t>£</w:t>
      </w:r>
      <w:r w:rsidRPr="00874ABA">
        <w:rPr>
          <w:rFonts w:ascii="Arial" w:hAnsi="Arial" w:cs="Arial"/>
          <w:sz w:val="24"/>
          <w:szCs w:val="24"/>
        </w:rPr>
        <w:t>1.5 cm in diameter).</w:t>
      </w:r>
    </w:p>
    <w:p w14:paraId="67F782EB" w14:textId="77777777" w:rsidR="00085070" w:rsidRPr="00874ABA" w:rsidRDefault="00085070" w:rsidP="00071479">
      <w:pPr>
        <w:pStyle w:val="ListParagraph"/>
        <w:numPr>
          <w:ilvl w:val="1"/>
          <w:numId w:val="8"/>
        </w:numPr>
        <w:autoSpaceDE w:val="0"/>
        <w:autoSpaceDN w:val="0"/>
        <w:adjustRightInd w:val="0"/>
        <w:spacing w:line="360" w:lineRule="auto"/>
        <w:ind w:left="630" w:hanging="270"/>
        <w:rPr>
          <w:rFonts w:ascii="Arial" w:hAnsi="Arial" w:cs="Arial"/>
          <w:sz w:val="24"/>
          <w:szCs w:val="24"/>
        </w:rPr>
      </w:pPr>
      <w:r w:rsidRPr="00874ABA">
        <w:rPr>
          <w:rFonts w:ascii="Arial" w:hAnsi="Arial" w:cs="Arial"/>
          <w:sz w:val="24"/>
          <w:szCs w:val="24"/>
        </w:rPr>
        <w:t>Superficial siderosis.</w:t>
      </w:r>
    </w:p>
    <w:p w14:paraId="1D6663B7" w14:textId="77777777" w:rsidR="00085070" w:rsidRPr="00874ABA" w:rsidRDefault="00085070" w:rsidP="00071479">
      <w:pPr>
        <w:pStyle w:val="ListParagraph"/>
        <w:numPr>
          <w:ilvl w:val="1"/>
          <w:numId w:val="8"/>
        </w:numPr>
        <w:autoSpaceDE w:val="0"/>
        <w:autoSpaceDN w:val="0"/>
        <w:adjustRightInd w:val="0"/>
        <w:spacing w:line="360" w:lineRule="auto"/>
        <w:ind w:left="630" w:hanging="270"/>
        <w:rPr>
          <w:rFonts w:ascii="Arial" w:hAnsi="Arial" w:cs="Arial"/>
          <w:sz w:val="24"/>
          <w:szCs w:val="24"/>
        </w:rPr>
      </w:pPr>
      <w:r w:rsidRPr="00874ABA">
        <w:rPr>
          <w:rFonts w:ascii="Arial" w:hAnsi="Arial" w:cs="Arial"/>
          <w:sz w:val="24"/>
          <w:szCs w:val="24"/>
        </w:rPr>
        <w:t xml:space="preserve">History of diffuse white matter disease as defined by a score of 3 on the age-related white matter changes scale. </w:t>
      </w:r>
    </w:p>
    <w:p w14:paraId="7C0C1DFF" w14:textId="6ECAA275" w:rsidR="00085070" w:rsidRPr="00874ABA" w:rsidRDefault="00085070" w:rsidP="00071479">
      <w:pPr>
        <w:pStyle w:val="ListParagraph"/>
        <w:numPr>
          <w:ilvl w:val="1"/>
          <w:numId w:val="8"/>
        </w:numPr>
        <w:autoSpaceDE w:val="0"/>
        <w:autoSpaceDN w:val="0"/>
        <w:adjustRightInd w:val="0"/>
        <w:spacing w:line="360" w:lineRule="auto"/>
        <w:ind w:left="630" w:hanging="270"/>
        <w:rPr>
          <w:rFonts w:ascii="Arial" w:hAnsi="Arial" w:cs="Arial"/>
          <w:sz w:val="24"/>
          <w:szCs w:val="24"/>
        </w:rPr>
      </w:pPr>
      <w:r w:rsidRPr="00874ABA">
        <w:rPr>
          <w:rFonts w:ascii="Arial" w:hAnsi="Arial" w:cs="Arial"/>
          <w:sz w:val="24"/>
          <w:szCs w:val="24"/>
        </w:rPr>
        <w:t xml:space="preserve">Any finding that, in the opinion of the </w:t>
      </w:r>
      <w:r w:rsidR="0005764C">
        <w:rPr>
          <w:rFonts w:ascii="Arial" w:hAnsi="Arial" w:cs="Arial"/>
          <w:sz w:val="24"/>
          <w:szCs w:val="24"/>
        </w:rPr>
        <w:t>i</w:t>
      </w:r>
      <w:r w:rsidRPr="00874ABA">
        <w:rPr>
          <w:rFonts w:ascii="Arial" w:hAnsi="Arial" w:cs="Arial"/>
          <w:sz w:val="24"/>
          <w:szCs w:val="24"/>
        </w:rPr>
        <w:t>nvestigator, might be a contributing cause of subject’s dementia, might pose a risk to the subject, or might prevent a satisfactory</w:t>
      </w:r>
    </w:p>
    <w:p w14:paraId="77E7BA84" w14:textId="77777777" w:rsidR="00085070" w:rsidRPr="00874ABA" w:rsidRDefault="00085070" w:rsidP="00071479">
      <w:pPr>
        <w:pStyle w:val="ListParagraph"/>
        <w:numPr>
          <w:ilvl w:val="1"/>
          <w:numId w:val="8"/>
        </w:numPr>
        <w:autoSpaceDE w:val="0"/>
        <w:autoSpaceDN w:val="0"/>
        <w:adjustRightInd w:val="0"/>
        <w:spacing w:line="360" w:lineRule="auto"/>
        <w:ind w:left="630" w:hanging="270"/>
        <w:rPr>
          <w:rFonts w:ascii="Arial" w:hAnsi="Arial" w:cs="Arial"/>
          <w:sz w:val="24"/>
          <w:szCs w:val="24"/>
        </w:rPr>
      </w:pPr>
      <w:r w:rsidRPr="00874ABA">
        <w:rPr>
          <w:rFonts w:ascii="Arial" w:hAnsi="Arial" w:cs="Arial"/>
          <w:sz w:val="24"/>
          <w:szCs w:val="24"/>
        </w:rPr>
        <w:t>MRI assessment for safety monitoring.</w:t>
      </w:r>
    </w:p>
    <w:p w14:paraId="0FEB55F6" w14:textId="727BA790" w:rsidR="00085070" w:rsidRPr="00874ABA" w:rsidRDefault="00085070" w:rsidP="00071479">
      <w:pPr>
        <w:pStyle w:val="ListParagraph"/>
        <w:numPr>
          <w:ilvl w:val="0"/>
          <w:numId w:val="8"/>
        </w:numPr>
        <w:autoSpaceDE w:val="0"/>
        <w:autoSpaceDN w:val="0"/>
        <w:adjustRightInd w:val="0"/>
        <w:spacing w:line="360" w:lineRule="auto"/>
        <w:rPr>
          <w:rFonts w:ascii="Arial" w:hAnsi="Arial" w:cs="Arial"/>
          <w:sz w:val="24"/>
          <w:szCs w:val="24"/>
        </w:rPr>
      </w:pPr>
      <w:r w:rsidRPr="00874ABA">
        <w:rPr>
          <w:rFonts w:ascii="Arial" w:hAnsi="Arial" w:cs="Arial"/>
          <w:sz w:val="24"/>
          <w:szCs w:val="24"/>
        </w:rPr>
        <w:t xml:space="preserve">History of bleeding disorder or predisposing conditions, blood clotting or clinically significant abnormal results on coagulation profile at Screening, as determined by the </w:t>
      </w:r>
      <w:r w:rsidR="0005764C">
        <w:rPr>
          <w:rFonts w:ascii="Arial" w:hAnsi="Arial" w:cs="Arial"/>
          <w:sz w:val="24"/>
          <w:szCs w:val="24"/>
        </w:rPr>
        <w:t>i</w:t>
      </w:r>
      <w:r w:rsidRPr="00874ABA">
        <w:rPr>
          <w:rFonts w:ascii="Arial" w:hAnsi="Arial" w:cs="Arial"/>
          <w:sz w:val="24"/>
          <w:szCs w:val="24"/>
        </w:rPr>
        <w:t>nvestigator.</w:t>
      </w:r>
    </w:p>
    <w:p w14:paraId="524D8985" w14:textId="5F2BFB25" w:rsidR="00085070" w:rsidRPr="00874ABA" w:rsidRDefault="00085070" w:rsidP="00071479">
      <w:pPr>
        <w:pStyle w:val="ListParagraph"/>
        <w:numPr>
          <w:ilvl w:val="0"/>
          <w:numId w:val="8"/>
        </w:numPr>
        <w:autoSpaceDE w:val="0"/>
        <w:autoSpaceDN w:val="0"/>
        <w:adjustRightInd w:val="0"/>
        <w:spacing w:line="360" w:lineRule="auto"/>
        <w:rPr>
          <w:rFonts w:ascii="Arial" w:hAnsi="Arial" w:cs="Arial"/>
          <w:sz w:val="24"/>
          <w:szCs w:val="24"/>
        </w:rPr>
      </w:pPr>
      <w:r w:rsidRPr="00874ABA">
        <w:rPr>
          <w:rFonts w:ascii="Arial" w:hAnsi="Arial" w:cs="Arial"/>
          <w:sz w:val="24"/>
          <w:szCs w:val="24"/>
        </w:rPr>
        <w:t xml:space="preserve">Presence of diabetes mellitus that, in the judgment of the </w:t>
      </w:r>
      <w:r w:rsidR="0005764C">
        <w:rPr>
          <w:rFonts w:ascii="Arial" w:hAnsi="Arial" w:cs="Arial"/>
          <w:sz w:val="24"/>
          <w:szCs w:val="24"/>
        </w:rPr>
        <w:t>i</w:t>
      </w:r>
      <w:r w:rsidRPr="00874ABA">
        <w:rPr>
          <w:rFonts w:ascii="Arial" w:hAnsi="Arial" w:cs="Arial"/>
          <w:sz w:val="24"/>
          <w:szCs w:val="24"/>
        </w:rPr>
        <w:t>nvestigator, cannot be controlled or adequately managed.</w:t>
      </w:r>
    </w:p>
    <w:p w14:paraId="03A19447" w14:textId="77777777" w:rsidR="00085070" w:rsidRPr="00874ABA" w:rsidRDefault="00085070" w:rsidP="00071479">
      <w:pPr>
        <w:pStyle w:val="ListParagraph"/>
        <w:numPr>
          <w:ilvl w:val="0"/>
          <w:numId w:val="8"/>
        </w:numPr>
        <w:autoSpaceDE w:val="0"/>
        <w:autoSpaceDN w:val="0"/>
        <w:adjustRightInd w:val="0"/>
        <w:spacing w:line="360" w:lineRule="auto"/>
        <w:rPr>
          <w:rFonts w:ascii="Arial" w:hAnsi="Arial" w:cs="Arial"/>
          <w:sz w:val="24"/>
          <w:szCs w:val="24"/>
        </w:rPr>
      </w:pPr>
      <w:r w:rsidRPr="00874ABA">
        <w:rPr>
          <w:rFonts w:ascii="Arial" w:hAnsi="Arial" w:cs="Arial"/>
          <w:sz w:val="24"/>
          <w:szCs w:val="24"/>
        </w:rPr>
        <w:t>History of unstable angina, myocardial infarction, chronic heart failure (New York Heart Association Class III or IV), or clinically significant conduction abnormalities (e.g., unstable atrial fibrillation) within 1 year prior to Screening.</w:t>
      </w:r>
    </w:p>
    <w:p w14:paraId="68C21CEA" w14:textId="27ABC581" w:rsidR="00085070" w:rsidRPr="00874ABA" w:rsidRDefault="00085070" w:rsidP="00071479">
      <w:pPr>
        <w:pStyle w:val="ListParagraph"/>
        <w:numPr>
          <w:ilvl w:val="0"/>
          <w:numId w:val="8"/>
        </w:numPr>
        <w:autoSpaceDE w:val="0"/>
        <w:autoSpaceDN w:val="0"/>
        <w:adjustRightInd w:val="0"/>
        <w:spacing w:line="360" w:lineRule="auto"/>
        <w:rPr>
          <w:rFonts w:ascii="Arial" w:hAnsi="Arial" w:cs="Arial"/>
          <w:sz w:val="24"/>
          <w:szCs w:val="24"/>
        </w:rPr>
      </w:pPr>
      <w:r w:rsidRPr="00874ABA">
        <w:rPr>
          <w:rFonts w:ascii="Arial" w:hAnsi="Arial" w:cs="Arial"/>
          <w:sz w:val="24"/>
          <w:szCs w:val="24"/>
        </w:rPr>
        <w:t xml:space="preserve">Clinically significant 12-lead ECG abnormalities, as determined by the </w:t>
      </w:r>
      <w:r w:rsidR="0005764C">
        <w:rPr>
          <w:rFonts w:ascii="Arial" w:hAnsi="Arial" w:cs="Arial"/>
          <w:sz w:val="24"/>
          <w:szCs w:val="24"/>
        </w:rPr>
        <w:t>i</w:t>
      </w:r>
      <w:r w:rsidRPr="00874ABA">
        <w:rPr>
          <w:rFonts w:ascii="Arial" w:hAnsi="Arial" w:cs="Arial"/>
          <w:sz w:val="24"/>
          <w:szCs w:val="24"/>
        </w:rPr>
        <w:t>nvestigator.</w:t>
      </w:r>
    </w:p>
    <w:p w14:paraId="79DC34E4" w14:textId="2B57AC75" w:rsidR="00085070" w:rsidRPr="00874ABA" w:rsidRDefault="00085070" w:rsidP="00071479">
      <w:pPr>
        <w:pStyle w:val="ListParagraph"/>
        <w:numPr>
          <w:ilvl w:val="0"/>
          <w:numId w:val="8"/>
        </w:numPr>
        <w:autoSpaceDE w:val="0"/>
        <w:autoSpaceDN w:val="0"/>
        <w:adjustRightInd w:val="0"/>
        <w:spacing w:line="360" w:lineRule="auto"/>
        <w:rPr>
          <w:rFonts w:ascii="Arial" w:hAnsi="Arial" w:cs="Arial"/>
          <w:sz w:val="24"/>
          <w:szCs w:val="24"/>
        </w:rPr>
      </w:pPr>
      <w:r w:rsidRPr="00874ABA">
        <w:rPr>
          <w:rFonts w:ascii="Arial" w:hAnsi="Arial" w:cs="Arial"/>
          <w:sz w:val="24"/>
          <w:szCs w:val="24"/>
        </w:rPr>
        <w:lastRenderedPageBreak/>
        <w:t xml:space="preserve">Uncontrolled hypertension defined as: average of 3 systolic blood pressure [SBP]/diastolic blood pressure [DBP] readings &gt;165 mmHg and/or &gt;100 mmHg at Screening (blood pressure measurements exceeding these limits may be repeated as warranted by the </w:t>
      </w:r>
      <w:r w:rsidR="0005764C">
        <w:rPr>
          <w:rFonts w:ascii="Arial" w:hAnsi="Arial" w:cs="Arial"/>
          <w:sz w:val="24"/>
          <w:szCs w:val="24"/>
        </w:rPr>
        <w:t>i</w:t>
      </w:r>
      <w:r w:rsidRPr="00874ABA">
        <w:rPr>
          <w:rFonts w:ascii="Arial" w:hAnsi="Arial" w:cs="Arial"/>
          <w:sz w:val="24"/>
          <w:szCs w:val="24"/>
        </w:rPr>
        <w:t xml:space="preserve">nvestigator, but values must be within the specified limits for the subject to be eligible for the study), or persistent SBP/DBP readings &gt;180 mmHg and/or &gt;100 mmHg 3 months prior to randomization (Day 1) that, in the opinion of the </w:t>
      </w:r>
      <w:r w:rsidR="0005764C">
        <w:rPr>
          <w:rFonts w:ascii="Arial" w:hAnsi="Arial" w:cs="Arial"/>
          <w:sz w:val="24"/>
          <w:szCs w:val="24"/>
        </w:rPr>
        <w:t>i</w:t>
      </w:r>
      <w:r w:rsidRPr="00874ABA">
        <w:rPr>
          <w:rFonts w:ascii="Arial" w:hAnsi="Arial" w:cs="Arial"/>
          <w:sz w:val="24"/>
          <w:szCs w:val="24"/>
        </w:rPr>
        <w:t>nvestigator, are indicative of chronic uncontrolled hypertension.</w:t>
      </w:r>
    </w:p>
    <w:p w14:paraId="0FE600A6" w14:textId="77777777" w:rsidR="00085070" w:rsidRPr="00874ABA" w:rsidRDefault="00085070" w:rsidP="00071479">
      <w:pPr>
        <w:pStyle w:val="ListParagraph"/>
        <w:numPr>
          <w:ilvl w:val="0"/>
          <w:numId w:val="8"/>
        </w:numPr>
        <w:autoSpaceDE w:val="0"/>
        <w:autoSpaceDN w:val="0"/>
        <w:adjustRightInd w:val="0"/>
        <w:spacing w:line="360" w:lineRule="auto"/>
        <w:rPr>
          <w:rFonts w:ascii="Arial" w:hAnsi="Arial" w:cs="Arial"/>
          <w:sz w:val="24"/>
          <w:szCs w:val="24"/>
        </w:rPr>
      </w:pPr>
      <w:r w:rsidRPr="00874ABA">
        <w:rPr>
          <w:rFonts w:ascii="Arial" w:hAnsi="Arial" w:cs="Arial"/>
          <w:sz w:val="24"/>
          <w:szCs w:val="24"/>
        </w:rPr>
        <w:t>History of malignancy or carcinoma. The following exceptions may be made after discussion with the Sponsor:</w:t>
      </w:r>
    </w:p>
    <w:p w14:paraId="05B3907D" w14:textId="77777777" w:rsidR="00085070" w:rsidRPr="00874ABA" w:rsidRDefault="00085070" w:rsidP="00071479">
      <w:pPr>
        <w:pStyle w:val="ListParagraph"/>
        <w:numPr>
          <w:ilvl w:val="1"/>
          <w:numId w:val="8"/>
        </w:numPr>
        <w:tabs>
          <w:tab w:val="left" w:pos="540"/>
        </w:tabs>
        <w:autoSpaceDE w:val="0"/>
        <w:autoSpaceDN w:val="0"/>
        <w:adjustRightInd w:val="0"/>
        <w:spacing w:line="360" w:lineRule="auto"/>
        <w:ind w:hanging="720"/>
        <w:rPr>
          <w:rFonts w:ascii="Arial" w:hAnsi="Arial" w:cs="Arial"/>
          <w:sz w:val="24"/>
          <w:szCs w:val="24"/>
        </w:rPr>
      </w:pPr>
      <w:r w:rsidRPr="00874ABA">
        <w:rPr>
          <w:rFonts w:ascii="Arial" w:hAnsi="Arial" w:cs="Arial"/>
          <w:sz w:val="24"/>
          <w:szCs w:val="24"/>
        </w:rPr>
        <w:t>Subjects with cancers in remission more than 5 years prior to Screening.</w:t>
      </w:r>
    </w:p>
    <w:p w14:paraId="54BAB704" w14:textId="77777777" w:rsidR="00085070" w:rsidRPr="00874ABA" w:rsidRDefault="00085070" w:rsidP="00071479">
      <w:pPr>
        <w:pStyle w:val="ListParagraph"/>
        <w:numPr>
          <w:ilvl w:val="1"/>
          <w:numId w:val="8"/>
        </w:numPr>
        <w:tabs>
          <w:tab w:val="left" w:pos="540"/>
        </w:tabs>
        <w:autoSpaceDE w:val="0"/>
        <w:autoSpaceDN w:val="0"/>
        <w:adjustRightInd w:val="0"/>
        <w:spacing w:line="360" w:lineRule="auto"/>
        <w:ind w:left="540" w:hanging="180"/>
        <w:rPr>
          <w:rFonts w:ascii="Arial" w:hAnsi="Arial" w:cs="Arial"/>
          <w:sz w:val="24"/>
          <w:szCs w:val="24"/>
        </w:rPr>
      </w:pPr>
      <w:r w:rsidRPr="00874ABA">
        <w:rPr>
          <w:rFonts w:ascii="Arial" w:hAnsi="Arial" w:cs="Arial"/>
          <w:sz w:val="24"/>
          <w:szCs w:val="24"/>
        </w:rPr>
        <w:t>Subjects with a history of excised or treated basal cell or squamous carcinoma of the skin.</w:t>
      </w:r>
    </w:p>
    <w:p w14:paraId="1A0C09B8" w14:textId="77777777" w:rsidR="00085070" w:rsidRPr="00874ABA" w:rsidRDefault="00085070" w:rsidP="00071479">
      <w:pPr>
        <w:pStyle w:val="ListParagraph"/>
        <w:numPr>
          <w:ilvl w:val="1"/>
          <w:numId w:val="8"/>
        </w:numPr>
        <w:tabs>
          <w:tab w:val="left" w:pos="540"/>
        </w:tabs>
        <w:autoSpaceDE w:val="0"/>
        <w:autoSpaceDN w:val="0"/>
        <w:adjustRightInd w:val="0"/>
        <w:spacing w:line="360" w:lineRule="auto"/>
        <w:ind w:left="540" w:hanging="180"/>
        <w:rPr>
          <w:rFonts w:ascii="Arial" w:hAnsi="Arial" w:cs="Arial"/>
          <w:sz w:val="24"/>
          <w:szCs w:val="24"/>
        </w:rPr>
      </w:pPr>
      <w:r w:rsidRPr="00874ABA">
        <w:rPr>
          <w:rFonts w:ascii="Arial" w:hAnsi="Arial" w:cs="Arial"/>
          <w:sz w:val="24"/>
          <w:szCs w:val="24"/>
        </w:rPr>
        <w:t>Subjects with localized prostate cancer with treatment cycles that completed at least 6 months prior to Screening.</w:t>
      </w:r>
    </w:p>
    <w:p w14:paraId="5ADD9595" w14:textId="77777777" w:rsidR="00085070" w:rsidRPr="00874ABA" w:rsidRDefault="00085070" w:rsidP="00071479">
      <w:pPr>
        <w:pStyle w:val="ListParagraph"/>
        <w:numPr>
          <w:ilvl w:val="0"/>
          <w:numId w:val="8"/>
        </w:numPr>
        <w:tabs>
          <w:tab w:val="left" w:pos="540"/>
        </w:tabs>
        <w:autoSpaceDE w:val="0"/>
        <w:autoSpaceDN w:val="0"/>
        <w:adjustRightInd w:val="0"/>
        <w:spacing w:line="360" w:lineRule="auto"/>
        <w:rPr>
          <w:rFonts w:ascii="Arial" w:hAnsi="Arial" w:cs="Arial"/>
          <w:sz w:val="24"/>
          <w:szCs w:val="24"/>
        </w:rPr>
      </w:pPr>
      <w:r w:rsidRPr="00874ABA">
        <w:rPr>
          <w:rFonts w:ascii="Arial" w:hAnsi="Arial" w:cs="Arial"/>
          <w:sz w:val="24"/>
          <w:szCs w:val="24"/>
        </w:rPr>
        <w:t>History of seizure within 10 years prior to Screening.</w:t>
      </w:r>
    </w:p>
    <w:p w14:paraId="01C068BF" w14:textId="77777777" w:rsidR="00085070" w:rsidRPr="00874ABA" w:rsidRDefault="00085070" w:rsidP="00071479">
      <w:pPr>
        <w:pStyle w:val="ListParagraph"/>
        <w:numPr>
          <w:ilvl w:val="0"/>
          <w:numId w:val="8"/>
        </w:numPr>
        <w:tabs>
          <w:tab w:val="left" w:pos="540"/>
        </w:tabs>
        <w:autoSpaceDE w:val="0"/>
        <w:autoSpaceDN w:val="0"/>
        <w:adjustRightInd w:val="0"/>
        <w:spacing w:line="360" w:lineRule="auto"/>
        <w:rPr>
          <w:rFonts w:ascii="Arial" w:hAnsi="Arial" w:cs="Arial"/>
          <w:sz w:val="24"/>
          <w:szCs w:val="24"/>
        </w:rPr>
      </w:pPr>
      <w:r w:rsidRPr="00874ABA">
        <w:rPr>
          <w:rFonts w:ascii="Arial" w:hAnsi="Arial" w:cs="Arial"/>
          <w:sz w:val="24"/>
          <w:szCs w:val="24"/>
        </w:rPr>
        <w:t>Indication of impaired liver function as shown by an abnormal liver function profile at Screening (e.g., repeated values of aspartate aminotransferase [AST] and alanine aminotransferase [ALT] ≥ 2 × the upper limit of normal).</w:t>
      </w:r>
    </w:p>
    <w:p w14:paraId="4D7F2547" w14:textId="0917FA78" w:rsidR="00085070" w:rsidRPr="00874ABA" w:rsidRDefault="00085070" w:rsidP="00071479">
      <w:pPr>
        <w:pStyle w:val="ListParagraph"/>
        <w:numPr>
          <w:ilvl w:val="0"/>
          <w:numId w:val="8"/>
        </w:numPr>
        <w:tabs>
          <w:tab w:val="left" w:pos="540"/>
        </w:tabs>
        <w:autoSpaceDE w:val="0"/>
        <w:autoSpaceDN w:val="0"/>
        <w:adjustRightInd w:val="0"/>
        <w:spacing w:line="360" w:lineRule="auto"/>
        <w:rPr>
          <w:rFonts w:ascii="Arial" w:hAnsi="Arial" w:cs="Arial"/>
          <w:sz w:val="24"/>
          <w:szCs w:val="24"/>
        </w:rPr>
      </w:pPr>
      <w:r w:rsidRPr="00874ABA">
        <w:rPr>
          <w:rFonts w:ascii="Arial" w:hAnsi="Arial" w:cs="Arial"/>
          <w:sz w:val="24"/>
          <w:szCs w:val="24"/>
        </w:rPr>
        <w:t xml:space="preserve">History or evidence of an autoimmune disorder considered clinically significant by the </w:t>
      </w:r>
      <w:r w:rsidR="0005764C">
        <w:rPr>
          <w:rFonts w:ascii="Arial" w:hAnsi="Arial" w:cs="Arial"/>
          <w:sz w:val="24"/>
          <w:szCs w:val="24"/>
        </w:rPr>
        <w:t>i</w:t>
      </w:r>
      <w:r w:rsidRPr="00874ABA">
        <w:rPr>
          <w:rFonts w:ascii="Arial" w:hAnsi="Arial" w:cs="Arial"/>
          <w:sz w:val="24"/>
          <w:szCs w:val="24"/>
        </w:rPr>
        <w:t>nvestigator or requiring chronic use of systemic corticosteroids or other immunosuppressants.</w:t>
      </w:r>
    </w:p>
    <w:p w14:paraId="21C5EFFC" w14:textId="61C233A1" w:rsidR="00085070" w:rsidRPr="00874ABA" w:rsidRDefault="00085070" w:rsidP="00071479">
      <w:pPr>
        <w:pStyle w:val="ListParagraph"/>
        <w:numPr>
          <w:ilvl w:val="0"/>
          <w:numId w:val="8"/>
        </w:numPr>
        <w:tabs>
          <w:tab w:val="left" w:pos="540"/>
        </w:tabs>
        <w:autoSpaceDE w:val="0"/>
        <w:autoSpaceDN w:val="0"/>
        <w:adjustRightInd w:val="0"/>
        <w:spacing w:line="360" w:lineRule="auto"/>
        <w:rPr>
          <w:rFonts w:ascii="Arial" w:hAnsi="Arial" w:cs="Arial"/>
          <w:sz w:val="24"/>
          <w:szCs w:val="24"/>
        </w:rPr>
      </w:pPr>
      <w:r w:rsidRPr="00874ABA">
        <w:rPr>
          <w:rFonts w:ascii="Arial" w:hAnsi="Arial" w:cs="Arial"/>
          <w:sz w:val="24"/>
          <w:szCs w:val="24"/>
        </w:rPr>
        <w:t xml:space="preserve">Recent history (within 1 year of Screening) of alcohol or substance abuse as determined by the </w:t>
      </w:r>
      <w:r w:rsidR="0005764C">
        <w:rPr>
          <w:rFonts w:ascii="Arial" w:hAnsi="Arial" w:cs="Arial"/>
          <w:sz w:val="24"/>
          <w:szCs w:val="24"/>
        </w:rPr>
        <w:t>i</w:t>
      </w:r>
      <w:r w:rsidRPr="00874ABA">
        <w:rPr>
          <w:rFonts w:ascii="Arial" w:hAnsi="Arial" w:cs="Arial"/>
          <w:sz w:val="24"/>
          <w:szCs w:val="24"/>
        </w:rPr>
        <w:t>nvestigator, a positive urine drug (due to nonprescription drug) or alcohol test at Screening, or use of cannabinoids (prescription or recreational).</w:t>
      </w:r>
    </w:p>
    <w:p w14:paraId="41946333" w14:textId="77777777" w:rsidR="00085070" w:rsidRPr="00874ABA" w:rsidRDefault="00085070" w:rsidP="00071479">
      <w:pPr>
        <w:pStyle w:val="ListParagraph"/>
        <w:numPr>
          <w:ilvl w:val="0"/>
          <w:numId w:val="8"/>
        </w:numPr>
        <w:tabs>
          <w:tab w:val="left" w:pos="540"/>
        </w:tabs>
        <w:autoSpaceDE w:val="0"/>
        <w:autoSpaceDN w:val="0"/>
        <w:adjustRightInd w:val="0"/>
        <w:spacing w:line="360" w:lineRule="auto"/>
        <w:rPr>
          <w:rFonts w:ascii="Arial" w:hAnsi="Arial" w:cs="Arial"/>
          <w:sz w:val="24"/>
          <w:szCs w:val="24"/>
        </w:rPr>
      </w:pPr>
      <w:r w:rsidRPr="00874ABA">
        <w:rPr>
          <w:rFonts w:ascii="Arial" w:hAnsi="Arial" w:cs="Arial"/>
          <w:sz w:val="24"/>
          <w:szCs w:val="24"/>
        </w:rPr>
        <w:t>Clinically significant systemic illness or serious infection (e.g., pneumonia, septicemia) within 30 days prior to or during Screening.</w:t>
      </w:r>
    </w:p>
    <w:p w14:paraId="74AE6E65" w14:textId="77777777" w:rsidR="00085070" w:rsidRPr="00874ABA" w:rsidRDefault="00085070" w:rsidP="00071479">
      <w:pPr>
        <w:pStyle w:val="ListParagraph"/>
        <w:numPr>
          <w:ilvl w:val="0"/>
          <w:numId w:val="8"/>
        </w:numPr>
        <w:tabs>
          <w:tab w:val="left" w:pos="540"/>
        </w:tabs>
        <w:autoSpaceDE w:val="0"/>
        <w:autoSpaceDN w:val="0"/>
        <w:adjustRightInd w:val="0"/>
        <w:spacing w:line="360" w:lineRule="auto"/>
        <w:rPr>
          <w:rFonts w:ascii="Arial" w:hAnsi="Arial" w:cs="Arial"/>
          <w:sz w:val="24"/>
          <w:szCs w:val="24"/>
        </w:rPr>
      </w:pPr>
      <w:r w:rsidRPr="00874ABA">
        <w:rPr>
          <w:rFonts w:ascii="Arial" w:hAnsi="Arial" w:cs="Arial"/>
          <w:sz w:val="24"/>
          <w:szCs w:val="24"/>
        </w:rPr>
        <w:t>History of or known seropositivity for human immunodeficiency virus (HIV).</w:t>
      </w:r>
    </w:p>
    <w:p w14:paraId="62CE14D9" w14:textId="77777777" w:rsidR="00085070" w:rsidRPr="00874ABA" w:rsidRDefault="00085070" w:rsidP="00071479">
      <w:pPr>
        <w:pStyle w:val="ListParagraph"/>
        <w:numPr>
          <w:ilvl w:val="0"/>
          <w:numId w:val="8"/>
        </w:numPr>
        <w:tabs>
          <w:tab w:val="left" w:pos="540"/>
        </w:tabs>
        <w:autoSpaceDE w:val="0"/>
        <w:autoSpaceDN w:val="0"/>
        <w:adjustRightInd w:val="0"/>
        <w:spacing w:line="360" w:lineRule="auto"/>
        <w:rPr>
          <w:rFonts w:ascii="Arial" w:hAnsi="Arial" w:cs="Arial"/>
          <w:sz w:val="24"/>
          <w:szCs w:val="24"/>
        </w:rPr>
      </w:pPr>
      <w:r w:rsidRPr="00874ABA">
        <w:rPr>
          <w:rFonts w:ascii="Arial" w:hAnsi="Arial" w:cs="Arial"/>
          <w:sz w:val="24"/>
          <w:szCs w:val="24"/>
        </w:rPr>
        <w:t>History of or positive test result at Screening for hepatitis C virus antibody or hepatitis B virus (defined as positive for both hepatitis B surface antigen AND hepatitis B core antibody).</w:t>
      </w:r>
    </w:p>
    <w:p w14:paraId="1702A1ED" w14:textId="77777777" w:rsidR="00085070" w:rsidRPr="00874ABA" w:rsidRDefault="00085070" w:rsidP="00071479">
      <w:pPr>
        <w:pStyle w:val="ListParagraph"/>
        <w:numPr>
          <w:ilvl w:val="0"/>
          <w:numId w:val="8"/>
        </w:numPr>
        <w:tabs>
          <w:tab w:val="left" w:pos="540"/>
        </w:tabs>
        <w:autoSpaceDE w:val="0"/>
        <w:autoSpaceDN w:val="0"/>
        <w:adjustRightInd w:val="0"/>
        <w:spacing w:line="360" w:lineRule="auto"/>
        <w:rPr>
          <w:rFonts w:ascii="Arial" w:hAnsi="Arial" w:cs="Arial"/>
          <w:sz w:val="24"/>
          <w:szCs w:val="24"/>
        </w:rPr>
      </w:pPr>
      <w:r w:rsidRPr="00874ABA">
        <w:rPr>
          <w:rFonts w:ascii="Arial" w:hAnsi="Arial" w:cs="Arial"/>
          <w:sz w:val="24"/>
          <w:szCs w:val="24"/>
        </w:rPr>
        <w:t>History of severe allergic or anaphylactic reactions, or history of hypersensitivity to any of the inactive ingredients in the drug product (refer to the IB for information on the clinical formulation).</w:t>
      </w:r>
    </w:p>
    <w:p w14:paraId="5B0AB373" w14:textId="26DB961D" w:rsidR="00085070" w:rsidRPr="00874ABA" w:rsidRDefault="00085070" w:rsidP="00071479">
      <w:pPr>
        <w:pStyle w:val="ListParagraph"/>
        <w:numPr>
          <w:ilvl w:val="0"/>
          <w:numId w:val="8"/>
        </w:numPr>
        <w:tabs>
          <w:tab w:val="left" w:pos="540"/>
        </w:tabs>
        <w:autoSpaceDE w:val="0"/>
        <w:autoSpaceDN w:val="0"/>
        <w:adjustRightInd w:val="0"/>
        <w:spacing w:line="360" w:lineRule="auto"/>
        <w:rPr>
          <w:rFonts w:ascii="Arial" w:hAnsi="Arial" w:cs="Arial"/>
          <w:sz w:val="24"/>
          <w:szCs w:val="24"/>
        </w:rPr>
      </w:pPr>
      <w:r w:rsidRPr="00874ABA">
        <w:rPr>
          <w:rFonts w:ascii="Arial" w:hAnsi="Arial" w:cs="Arial"/>
          <w:sz w:val="24"/>
          <w:szCs w:val="24"/>
        </w:rPr>
        <w:t xml:space="preserve">Any other medical conditions (e.g., renal disease) that are not stable or controlled, or, which in the opinion of the </w:t>
      </w:r>
      <w:r w:rsidR="0005764C">
        <w:rPr>
          <w:rFonts w:ascii="Arial" w:hAnsi="Arial" w:cs="Arial"/>
          <w:sz w:val="24"/>
          <w:szCs w:val="24"/>
        </w:rPr>
        <w:t>i</w:t>
      </w:r>
      <w:r w:rsidRPr="00874ABA">
        <w:rPr>
          <w:rFonts w:ascii="Arial" w:hAnsi="Arial" w:cs="Arial"/>
          <w:sz w:val="24"/>
          <w:szCs w:val="24"/>
        </w:rPr>
        <w:t>nvestigator, could affect the subject’s safety or interfere with the study assessments.</w:t>
      </w:r>
    </w:p>
    <w:p w14:paraId="44931F04" w14:textId="77777777" w:rsidR="00085070" w:rsidRPr="00874ABA" w:rsidRDefault="00085070" w:rsidP="00085070">
      <w:pPr>
        <w:autoSpaceDE w:val="0"/>
        <w:autoSpaceDN w:val="0"/>
        <w:adjustRightInd w:val="0"/>
        <w:rPr>
          <w:rFonts w:eastAsiaTheme="minorHAnsi" w:cs="Arial"/>
          <w:i/>
          <w:iCs/>
          <w:sz w:val="24"/>
          <w:szCs w:val="24"/>
        </w:rPr>
      </w:pPr>
      <w:r w:rsidRPr="00874ABA">
        <w:rPr>
          <w:rFonts w:eastAsiaTheme="minorHAnsi" w:cs="Arial"/>
          <w:i/>
          <w:iCs/>
          <w:sz w:val="24"/>
          <w:szCs w:val="24"/>
        </w:rPr>
        <w:t>Medications</w:t>
      </w:r>
    </w:p>
    <w:p w14:paraId="5B19A6EE" w14:textId="074C2BCB" w:rsidR="00085070" w:rsidRPr="00874ABA" w:rsidRDefault="00085070" w:rsidP="00071479">
      <w:pPr>
        <w:pStyle w:val="ListParagraph"/>
        <w:numPr>
          <w:ilvl w:val="0"/>
          <w:numId w:val="8"/>
        </w:numPr>
        <w:autoSpaceDE w:val="0"/>
        <w:autoSpaceDN w:val="0"/>
        <w:adjustRightInd w:val="0"/>
        <w:spacing w:line="360" w:lineRule="auto"/>
        <w:rPr>
          <w:rFonts w:ascii="Arial" w:hAnsi="Arial" w:cs="Arial"/>
          <w:sz w:val="24"/>
          <w:szCs w:val="24"/>
        </w:rPr>
      </w:pPr>
      <w:r w:rsidRPr="00874ABA">
        <w:rPr>
          <w:rFonts w:ascii="Arial" w:hAnsi="Arial" w:cs="Arial"/>
          <w:sz w:val="24"/>
          <w:szCs w:val="24"/>
        </w:rPr>
        <w:lastRenderedPageBreak/>
        <w:t xml:space="preserve">Any medications that, in the opinion of the </w:t>
      </w:r>
      <w:r w:rsidR="0005764C">
        <w:rPr>
          <w:rFonts w:ascii="Arial" w:hAnsi="Arial" w:cs="Arial"/>
          <w:sz w:val="24"/>
          <w:szCs w:val="24"/>
        </w:rPr>
        <w:t>i</w:t>
      </w:r>
      <w:r w:rsidRPr="00874ABA">
        <w:rPr>
          <w:rFonts w:ascii="Arial" w:hAnsi="Arial" w:cs="Arial"/>
          <w:sz w:val="24"/>
          <w:szCs w:val="24"/>
        </w:rPr>
        <w:t>nvestigator, may contribute to cognitive impairment, put the subject at higher risk for AEs, or impair the subject’s ability to perform cognitive testing or complete study procedures.</w:t>
      </w:r>
    </w:p>
    <w:p w14:paraId="0225E76F" w14:textId="77777777" w:rsidR="00085070" w:rsidRPr="00874ABA" w:rsidRDefault="00085070" w:rsidP="00071479">
      <w:pPr>
        <w:pStyle w:val="ListParagraph"/>
        <w:numPr>
          <w:ilvl w:val="0"/>
          <w:numId w:val="8"/>
        </w:numPr>
        <w:autoSpaceDE w:val="0"/>
        <w:autoSpaceDN w:val="0"/>
        <w:adjustRightInd w:val="0"/>
        <w:spacing w:line="360" w:lineRule="auto"/>
        <w:rPr>
          <w:rFonts w:ascii="Arial" w:hAnsi="Arial" w:cs="Arial"/>
          <w:sz w:val="24"/>
          <w:szCs w:val="24"/>
        </w:rPr>
      </w:pPr>
      <w:r w:rsidRPr="00874ABA">
        <w:rPr>
          <w:rFonts w:ascii="Arial" w:hAnsi="Arial" w:cs="Arial"/>
          <w:sz w:val="24"/>
          <w:szCs w:val="24"/>
        </w:rPr>
        <w:t>Use of allowed chronic medications at doses that have not been stable for at least 4 weeks prior to Screening Visit 1 and during Screening up to Study Day 1, or use of AD medications (including but not limited to donepezil, rivastigmine, galantamine, tacrine, and memantine) at doses that have not been stable for at least 8 weeks prior to Screening Visit 1 and during Screening up to Study Day 1.</w:t>
      </w:r>
    </w:p>
    <w:p w14:paraId="032C412E" w14:textId="5D95C699" w:rsidR="00085070" w:rsidRPr="00874ABA" w:rsidRDefault="00085070" w:rsidP="00071479">
      <w:pPr>
        <w:pStyle w:val="ListParagraph"/>
        <w:numPr>
          <w:ilvl w:val="0"/>
          <w:numId w:val="8"/>
        </w:numPr>
        <w:autoSpaceDE w:val="0"/>
        <w:autoSpaceDN w:val="0"/>
        <w:adjustRightInd w:val="0"/>
        <w:spacing w:line="360" w:lineRule="auto"/>
        <w:rPr>
          <w:rFonts w:ascii="Arial" w:hAnsi="Arial" w:cs="Arial"/>
          <w:sz w:val="24"/>
          <w:szCs w:val="24"/>
        </w:rPr>
      </w:pPr>
      <w:r w:rsidRPr="00874ABA">
        <w:rPr>
          <w:rFonts w:ascii="Arial" w:hAnsi="Arial" w:cs="Arial"/>
          <w:sz w:val="24"/>
          <w:szCs w:val="24"/>
        </w:rPr>
        <w:t>Use of medications with platelet anti-</w:t>
      </w:r>
      <w:r w:rsidR="002158DC" w:rsidRPr="00874ABA">
        <w:rPr>
          <w:rFonts w:ascii="Arial" w:hAnsi="Arial" w:cs="Arial"/>
          <w:sz w:val="24"/>
          <w:szCs w:val="24"/>
        </w:rPr>
        <w:t>aggregate</w:t>
      </w:r>
      <w:r w:rsidRPr="00874ABA">
        <w:rPr>
          <w:rFonts w:ascii="Arial" w:hAnsi="Arial" w:cs="Arial"/>
          <w:sz w:val="24"/>
          <w:szCs w:val="24"/>
        </w:rPr>
        <w:t xml:space="preserve"> or anti-coagulant properties (the use of aspirin at a prophylactic dose [≤ 325 mg daily] is allowed).</w:t>
      </w:r>
    </w:p>
    <w:p w14:paraId="53CD2980" w14:textId="77777777" w:rsidR="00085070" w:rsidRPr="00874ABA" w:rsidRDefault="00085070" w:rsidP="00071479">
      <w:pPr>
        <w:pStyle w:val="ListParagraph"/>
        <w:numPr>
          <w:ilvl w:val="0"/>
          <w:numId w:val="8"/>
        </w:numPr>
        <w:autoSpaceDE w:val="0"/>
        <w:autoSpaceDN w:val="0"/>
        <w:adjustRightInd w:val="0"/>
        <w:spacing w:line="360" w:lineRule="auto"/>
        <w:rPr>
          <w:rFonts w:ascii="Arial" w:hAnsi="Arial" w:cs="Arial"/>
          <w:sz w:val="24"/>
          <w:szCs w:val="24"/>
        </w:rPr>
      </w:pPr>
      <w:r w:rsidRPr="00874ABA">
        <w:rPr>
          <w:rFonts w:ascii="Arial" w:hAnsi="Arial" w:cs="Arial"/>
          <w:sz w:val="24"/>
          <w:szCs w:val="24"/>
        </w:rPr>
        <w:t>Use of illicit narcotic medication.</w:t>
      </w:r>
    </w:p>
    <w:p w14:paraId="00BDEF49" w14:textId="77777777" w:rsidR="00085070" w:rsidRPr="00874ABA" w:rsidRDefault="00085070" w:rsidP="00071479">
      <w:pPr>
        <w:pStyle w:val="ListParagraph"/>
        <w:numPr>
          <w:ilvl w:val="0"/>
          <w:numId w:val="8"/>
        </w:numPr>
        <w:autoSpaceDE w:val="0"/>
        <w:autoSpaceDN w:val="0"/>
        <w:adjustRightInd w:val="0"/>
        <w:spacing w:line="360" w:lineRule="auto"/>
        <w:rPr>
          <w:rFonts w:ascii="Arial" w:hAnsi="Arial" w:cs="Arial"/>
          <w:sz w:val="24"/>
          <w:szCs w:val="24"/>
        </w:rPr>
      </w:pPr>
      <w:r w:rsidRPr="00874ABA">
        <w:rPr>
          <w:rFonts w:ascii="Arial" w:hAnsi="Arial" w:cs="Arial"/>
          <w:sz w:val="24"/>
          <w:szCs w:val="24"/>
        </w:rPr>
        <w:t>Vaccinations within 10 days prior to randomization (Day 1).</w:t>
      </w:r>
    </w:p>
    <w:p w14:paraId="119182E9" w14:textId="77777777" w:rsidR="00085070" w:rsidRPr="00874ABA" w:rsidRDefault="00085070" w:rsidP="00071479">
      <w:pPr>
        <w:pStyle w:val="ListParagraph"/>
        <w:numPr>
          <w:ilvl w:val="0"/>
          <w:numId w:val="8"/>
        </w:numPr>
        <w:autoSpaceDE w:val="0"/>
        <w:autoSpaceDN w:val="0"/>
        <w:adjustRightInd w:val="0"/>
        <w:spacing w:line="360" w:lineRule="auto"/>
        <w:rPr>
          <w:rFonts w:ascii="Arial" w:hAnsi="Arial" w:cs="Arial"/>
          <w:sz w:val="24"/>
          <w:szCs w:val="24"/>
        </w:rPr>
      </w:pPr>
      <w:r w:rsidRPr="00874ABA">
        <w:rPr>
          <w:rFonts w:ascii="Arial" w:hAnsi="Arial" w:cs="Arial"/>
          <w:sz w:val="24"/>
          <w:szCs w:val="24"/>
        </w:rPr>
        <w:t>Participation in any active immunotherapy study targeting A</w:t>
      </w:r>
      <w:r w:rsidRPr="00874ABA">
        <w:rPr>
          <w:rFonts w:ascii="Symbol" w:eastAsia="Symbol" w:hAnsi="Symbol" w:cs="Symbol"/>
          <w:sz w:val="24"/>
          <w:szCs w:val="24"/>
        </w:rPr>
        <w:t>b</w:t>
      </w:r>
      <w:r w:rsidRPr="00874ABA">
        <w:rPr>
          <w:rFonts w:ascii="Arial" w:hAnsi="Arial" w:cs="Arial"/>
          <w:sz w:val="24"/>
          <w:szCs w:val="24"/>
        </w:rPr>
        <w:t xml:space="preserve"> unless documentation of receipt of placebo is available.</w:t>
      </w:r>
    </w:p>
    <w:p w14:paraId="1657F1C0" w14:textId="77777777" w:rsidR="00085070" w:rsidRPr="00874ABA" w:rsidRDefault="00085070" w:rsidP="00071479">
      <w:pPr>
        <w:pStyle w:val="ListParagraph"/>
        <w:numPr>
          <w:ilvl w:val="0"/>
          <w:numId w:val="8"/>
        </w:numPr>
        <w:autoSpaceDE w:val="0"/>
        <w:autoSpaceDN w:val="0"/>
        <w:adjustRightInd w:val="0"/>
        <w:spacing w:line="360" w:lineRule="auto"/>
        <w:rPr>
          <w:rFonts w:ascii="Arial" w:hAnsi="Arial" w:cs="Arial"/>
          <w:sz w:val="24"/>
          <w:szCs w:val="24"/>
        </w:rPr>
      </w:pPr>
      <w:r w:rsidRPr="00874ABA">
        <w:rPr>
          <w:rFonts w:ascii="Arial" w:hAnsi="Arial" w:cs="Arial"/>
          <w:sz w:val="24"/>
          <w:szCs w:val="24"/>
        </w:rPr>
        <w:t>Participation in any passive immunotherapy study targeting A</w:t>
      </w:r>
      <w:r w:rsidRPr="00874ABA">
        <w:rPr>
          <w:rFonts w:ascii="Symbol" w:eastAsia="Symbol" w:hAnsi="Symbol" w:cs="Symbol"/>
          <w:sz w:val="24"/>
          <w:szCs w:val="24"/>
        </w:rPr>
        <w:t>b</w:t>
      </w:r>
      <w:r w:rsidRPr="00874ABA">
        <w:rPr>
          <w:rFonts w:ascii="Arial" w:hAnsi="Arial" w:cs="Arial"/>
          <w:sz w:val="24"/>
          <w:szCs w:val="24"/>
        </w:rPr>
        <w:t xml:space="preserve"> within 12 months of Screening unless documentation of receipt of placebo is available.</w:t>
      </w:r>
    </w:p>
    <w:p w14:paraId="46E20E35" w14:textId="77777777" w:rsidR="00085070" w:rsidRPr="00874ABA" w:rsidRDefault="00085070" w:rsidP="00071479">
      <w:pPr>
        <w:pStyle w:val="ListParagraph"/>
        <w:numPr>
          <w:ilvl w:val="0"/>
          <w:numId w:val="8"/>
        </w:numPr>
        <w:autoSpaceDE w:val="0"/>
        <w:autoSpaceDN w:val="0"/>
        <w:adjustRightInd w:val="0"/>
        <w:spacing w:line="360" w:lineRule="auto"/>
        <w:rPr>
          <w:rFonts w:ascii="Arial" w:hAnsi="Arial" w:cs="Arial"/>
          <w:sz w:val="24"/>
          <w:szCs w:val="24"/>
        </w:rPr>
      </w:pPr>
      <w:r w:rsidRPr="00874ABA">
        <w:rPr>
          <w:rFonts w:ascii="Arial" w:hAnsi="Arial" w:cs="Arial"/>
          <w:sz w:val="24"/>
          <w:szCs w:val="24"/>
        </w:rPr>
        <w:t>Participation in any study with purported disease-modifying effect in AD within 12 months prior to Screening unless documentation of receipt of placebo is available. Subjects who developed `-E during a previous disease-modifying trial should be excluded.</w:t>
      </w:r>
    </w:p>
    <w:p w14:paraId="6947D2F7" w14:textId="77777777" w:rsidR="00085070" w:rsidRPr="00874ABA" w:rsidRDefault="00085070" w:rsidP="00071479">
      <w:pPr>
        <w:pStyle w:val="ListParagraph"/>
        <w:numPr>
          <w:ilvl w:val="0"/>
          <w:numId w:val="8"/>
        </w:numPr>
        <w:autoSpaceDE w:val="0"/>
        <w:autoSpaceDN w:val="0"/>
        <w:adjustRightInd w:val="0"/>
        <w:spacing w:line="360" w:lineRule="auto"/>
        <w:rPr>
          <w:rFonts w:ascii="Arial" w:hAnsi="Arial" w:cs="Arial"/>
          <w:sz w:val="24"/>
          <w:szCs w:val="24"/>
        </w:rPr>
      </w:pPr>
      <w:r w:rsidRPr="00874ABA">
        <w:rPr>
          <w:rFonts w:ascii="Arial" w:hAnsi="Arial" w:cs="Arial"/>
          <w:sz w:val="24"/>
          <w:szCs w:val="24"/>
        </w:rPr>
        <w:t>Participation in a previous study with aducanumab (subject is eligible if he/she did not receive active aducanumab).</w:t>
      </w:r>
    </w:p>
    <w:p w14:paraId="03754FCF" w14:textId="77777777" w:rsidR="00085070" w:rsidRPr="00874ABA" w:rsidRDefault="00085070" w:rsidP="00085070">
      <w:pPr>
        <w:autoSpaceDE w:val="0"/>
        <w:autoSpaceDN w:val="0"/>
        <w:adjustRightInd w:val="0"/>
        <w:rPr>
          <w:rFonts w:eastAsiaTheme="minorHAnsi" w:cs="Arial"/>
          <w:i/>
          <w:iCs/>
          <w:sz w:val="24"/>
          <w:szCs w:val="24"/>
        </w:rPr>
      </w:pPr>
      <w:r w:rsidRPr="00874ABA">
        <w:rPr>
          <w:rFonts w:eastAsiaTheme="minorHAnsi" w:cs="Arial"/>
          <w:i/>
          <w:iCs/>
          <w:sz w:val="24"/>
          <w:szCs w:val="24"/>
        </w:rPr>
        <w:t>Study Procedures</w:t>
      </w:r>
    </w:p>
    <w:p w14:paraId="46837843" w14:textId="77777777" w:rsidR="00085070" w:rsidRPr="00874ABA" w:rsidRDefault="00085070" w:rsidP="00071479">
      <w:pPr>
        <w:pStyle w:val="ListParagraph"/>
        <w:numPr>
          <w:ilvl w:val="0"/>
          <w:numId w:val="8"/>
        </w:numPr>
        <w:autoSpaceDE w:val="0"/>
        <w:autoSpaceDN w:val="0"/>
        <w:adjustRightInd w:val="0"/>
        <w:spacing w:line="360" w:lineRule="auto"/>
        <w:rPr>
          <w:rFonts w:ascii="Arial" w:hAnsi="Arial" w:cs="Arial"/>
          <w:sz w:val="24"/>
          <w:szCs w:val="24"/>
        </w:rPr>
      </w:pPr>
      <w:r w:rsidRPr="00874ABA">
        <w:rPr>
          <w:rFonts w:ascii="Arial" w:hAnsi="Arial" w:cs="Arial"/>
          <w:sz w:val="24"/>
          <w:szCs w:val="24"/>
        </w:rPr>
        <w:t>Contraindications to having a brain MRI (e.g., pacemaker; MRI-incompatible aneurysm clips, artificial heart valves, or other metal foreign body; claustrophobia that cannot be medically managed).</w:t>
      </w:r>
    </w:p>
    <w:p w14:paraId="3CA987CB" w14:textId="77777777" w:rsidR="00085070" w:rsidRPr="00874ABA" w:rsidRDefault="00085070" w:rsidP="00071479">
      <w:pPr>
        <w:pStyle w:val="ListParagraph"/>
        <w:numPr>
          <w:ilvl w:val="0"/>
          <w:numId w:val="8"/>
        </w:numPr>
        <w:autoSpaceDE w:val="0"/>
        <w:autoSpaceDN w:val="0"/>
        <w:adjustRightInd w:val="0"/>
        <w:spacing w:line="360" w:lineRule="auto"/>
        <w:rPr>
          <w:rFonts w:ascii="Arial" w:hAnsi="Arial" w:cs="Arial"/>
          <w:sz w:val="24"/>
          <w:szCs w:val="24"/>
        </w:rPr>
      </w:pPr>
      <w:r w:rsidRPr="00874ABA">
        <w:rPr>
          <w:rFonts w:ascii="Arial" w:hAnsi="Arial" w:cs="Arial"/>
          <w:sz w:val="24"/>
          <w:szCs w:val="24"/>
        </w:rPr>
        <w:t>Contraindication to having a PET scan (e.g., inability to lie flat or still for the duration of the scan) or intolerance to previous PET scans (i.e., previous hypersensitivity reactions to any PET ligand or imaging agent, failure to participate in and comply with previous PET scans).</w:t>
      </w:r>
    </w:p>
    <w:p w14:paraId="4ECB4E56" w14:textId="77777777" w:rsidR="00085070" w:rsidRPr="00874ABA" w:rsidRDefault="00085070" w:rsidP="00071479">
      <w:pPr>
        <w:pStyle w:val="ListParagraph"/>
        <w:numPr>
          <w:ilvl w:val="0"/>
          <w:numId w:val="8"/>
        </w:numPr>
        <w:autoSpaceDE w:val="0"/>
        <w:autoSpaceDN w:val="0"/>
        <w:adjustRightInd w:val="0"/>
        <w:spacing w:line="360" w:lineRule="auto"/>
        <w:rPr>
          <w:rFonts w:ascii="Arial" w:hAnsi="Arial" w:cs="Arial"/>
          <w:sz w:val="24"/>
          <w:szCs w:val="24"/>
        </w:rPr>
      </w:pPr>
      <w:r w:rsidRPr="00874ABA">
        <w:rPr>
          <w:rFonts w:ascii="Arial" w:hAnsi="Arial" w:cs="Arial"/>
          <w:sz w:val="24"/>
          <w:szCs w:val="24"/>
        </w:rPr>
        <w:t>A negative PET scan result with any amyloid-targeting ligand within 6 months prior to Screening.</w:t>
      </w:r>
    </w:p>
    <w:p w14:paraId="6889200B" w14:textId="77777777" w:rsidR="00085070" w:rsidRPr="00874ABA" w:rsidRDefault="00085070" w:rsidP="00071479">
      <w:pPr>
        <w:pStyle w:val="ListParagraph"/>
        <w:numPr>
          <w:ilvl w:val="0"/>
          <w:numId w:val="8"/>
        </w:numPr>
        <w:autoSpaceDE w:val="0"/>
        <w:autoSpaceDN w:val="0"/>
        <w:adjustRightInd w:val="0"/>
        <w:spacing w:line="360" w:lineRule="auto"/>
        <w:rPr>
          <w:rFonts w:ascii="Arial" w:hAnsi="Arial" w:cs="Arial"/>
          <w:sz w:val="24"/>
          <w:szCs w:val="24"/>
        </w:rPr>
      </w:pPr>
      <w:r w:rsidRPr="00874ABA">
        <w:rPr>
          <w:rFonts w:ascii="Arial" w:hAnsi="Arial" w:cs="Arial"/>
          <w:sz w:val="24"/>
          <w:szCs w:val="24"/>
        </w:rPr>
        <w:t xml:space="preserve">Have had or plan exposure to experimental radiation within 12 months prior to Screening such that </w:t>
      </w:r>
      <w:proofErr w:type="spellStart"/>
      <w:r w:rsidRPr="00874ABA">
        <w:rPr>
          <w:rFonts w:ascii="Arial" w:hAnsi="Arial" w:cs="Arial"/>
          <w:sz w:val="24"/>
          <w:szCs w:val="24"/>
        </w:rPr>
        <w:t>radiodosimetry</w:t>
      </w:r>
      <w:proofErr w:type="spellEnd"/>
      <w:r w:rsidRPr="00874ABA">
        <w:rPr>
          <w:rFonts w:ascii="Arial" w:hAnsi="Arial" w:cs="Arial"/>
          <w:sz w:val="24"/>
          <w:szCs w:val="24"/>
        </w:rPr>
        <w:t xml:space="preserve"> limits would be exceeded by participating in this study.</w:t>
      </w:r>
    </w:p>
    <w:p w14:paraId="6F9F27ED" w14:textId="77777777" w:rsidR="00085070" w:rsidRPr="00874ABA" w:rsidRDefault="00085070" w:rsidP="00071479">
      <w:pPr>
        <w:pStyle w:val="ListParagraph"/>
        <w:numPr>
          <w:ilvl w:val="0"/>
          <w:numId w:val="8"/>
        </w:numPr>
        <w:autoSpaceDE w:val="0"/>
        <w:autoSpaceDN w:val="0"/>
        <w:adjustRightInd w:val="0"/>
        <w:spacing w:line="360" w:lineRule="auto"/>
        <w:rPr>
          <w:rFonts w:ascii="Arial" w:hAnsi="Arial" w:cs="Arial"/>
          <w:sz w:val="24"/>
          <w:szCs w:val="24"/>
        </w:rPr>
      </w:pPr>
      <w:r w:rsidRPr="00874ABA">
        <w:rPr>
          <w:rFonts w:ascii="Arial" w:hAnsi="Arial" w:cs="Arial"/>
          <w:sz w:val="24"/>
          <w:szCs w:val="24"/>
        </w:rPr>
        <w:t>For subjects who consent to LP, any contraindications to having a LP (e.g., platelet count &lt;100,000/</w:t>
      </w:r>
      <w:proofErr w:type="spellStart"/>
      <w:r w:rsidRPr="00874ABA">
        <w:rPr>
          <w:rFonts w:ascii="Arial" w:hAnsi="Arial" w:cs="Arial"/>
          <w:sz w:val="24"/>
          <w:szCs w:val="24"/>
        </w:rPr>
        <w:t>μL</w:t>
      </w:r>
      <w:proofErr w:type="spellEnd"/>
      <w:r w:rsidRPr="00874ABA">
        <w:rPr>
          <w:rFonts w:ascii="Arial" w:hAnsi="Arial" w:cs="Arial"/>
          <w:sz w:val="24"/>
          <w:szCs w:val="24"/>
        </w:rPr>
        <w:t>, lumbar spine deformity). Any symptoms caused by or related to the optional LP during Screening must be resolved prior to randomization (Day 1). Subjects may still participate in the overall study even if participation in the optional LP portion is contraindicated.</w:t>
      </w:r>
    </w:p>
    <w:p w14:paraId="47CB9872" w14:textId="77777777" w:rsidR="00085070" w:rsidRPr="00874ABA" w:rsidRDefault="00085070" w:rsidP="00085070">
      <w:pPr>
        <w:autoSpaceDE w:val="0"/>
        <w:autoSpaceDN w:val="0"/>
        <w:adjustRightInd w:val="0"/>
        <w:rPr>
          <w:rFonts w:eastAsiaTheme="minorHAnsi" w:cs="Arial"/>
          <w:i/>
          <w:iCs/>
          <w:sz w:val="24"/>
          <w:szCs w:val="24"/>
        </w:rPr>
      </w:pPr>
      <w:r w:rsidRPr="00874ABA">
        <w:rPr>
          <w:rFonts w:eastAsiaTheme="minorHAnsi" w:cs="Arial"/>
          <w:i/>
          <w:iCs/>
          <w:sz w:val="24"/>
          <w:szCs w:val="24"/>
        </w:rPr>
        <w:lastRenderedPageBreak/>
        <w:t>Others</w:t>
      </w:r>
    </w:p>
    <w:p w14:paraId="68A4363D" w14:textId="77777777" w:rsidR="00085070" w:rsidRPr="00874ABA" w:rsidRDefault="00085070" w:rsidP="00071479">
      <w:pPr>
        <w:pStyle w:val="ListParagraph"/>
        <w:numPr>
          <w:ilvl w:val="0"/>
          <w:numId w:val="8"/>
        </w:numPr>
        <w:autoSpaceDE w:val="0"/>
        <w:autoSpaceDN w:val="0"/>
        <w:adjustRightInd w:val="0"/>
        <w:spacing w:line="360" w:lineRule="auto"/>
        <w:rPr>
          <w:rFonts w:ascii="Arial" w:hAnsi="Arial" w:cs="Arial"/>
          <w:sz w:val="24"/>
          <w:szCs w:val="24"/>
        </w:rPr>
      </w:pPr>
      <w:r w:rsidRPr="00874ABA">
        <w:rPr>
          <w:rFonts w:ascii="Arial" w:hAnsi="Arial" w:cs="Arial"/>
          <w:sz w:val="24"/>
          <w:szCs w:val="24"/>
        </w:rPr>
        <w:t>Female subjects who are pregnant or currently breastfeeding.</w:t>
      </w:r>
    </w:p>
    <w:p w14:paraId="7EC1A06B" w14:textId="77777777" w:rsidR="00085070" w:rsidRPr="00874ABA" w:rsidRDefault="00085070" w:rsidP="00071479">
      <w:pPr>
        <w:pStyle w:val="ListParagraph"/>
        <w:numPr>
          <w:ilvl w:val="0"/>
          <w:numId w:val="8"/>
        </w:numPr>
        <w:autoSpaceDE w:val="0"/>
        <w:autoSpaceDN w:val="0"/>
        <w:adjustRightInd w:val="0"/>
        <w:spacing w:line="360" w:lineRule="auto"/>
        <w:rPr>
          <w:rFonts w:ascii="Arial" w:hAnsi="Arial" w:cs="Arial"/>
          <w:sz w:val="24"/>
          <w:szCs w:val="24"/>
        </w:rPr>
      </w:pPr>
      <w:r w:rsidRPr="00874ABA">
        <w:rPr>
          <w:rFonts w:ascii="Arial" w:hAnsi="Arial" w:cs="Arial"/>
          <w:sz w:val="24"/>
          <w:szCs w:val="24"/>
        </w:rPr>
        <w:t>Previous participation in this study. Subjects who fail Screening will be permitted to be rescreened once at the Sponsor’s discretion, except those who fail due to PET, MMSE, CDR global score &gt;0.5, hepatitis B or C, or abnormal MRI findings. (Subjects who fail Screening due to a CDR global score of 0 may be rescreened; such subjects will be allowed to repeat the screening CDR assessment after 6 months.</w:t>
      </w:r>
    </w:p>
    <w:p w14:paraId="6534160A" w14:textId="77777777" w:rsidR="00085070" w:rsidRPr="00874ABA" w:rsidRDefault="00085070" w:rsidP="00071479">
      <w:pPr>
        <w:pStyle w:val="ListParagraph"/>
        <w:numPr>
          <w:ilvl w:val="0"/>
          <w:numId w:val="8"/>
        </w:numPr>
        <w:autoSpaceDE w:val="0"/>
        <w:autoSpaceDN w:val="0"/>
        <w:adjustRightInd w:val="0"/>
        <w:spacing w:line="360" w:lineRule="auto"/>
        <w:rPr>
          <w:rFonts w:ascii="Arial" w:hAnsi="Arial" w:cs="Arial"/>
          <w:sz w:val="24"/>
          <w:szCs w:val="24"/>
        </w:rPr>
      </w:pPr>
      <w:r w:rsidRPr="00874ABA">
        <w:rPr>
          <w:rFonts w:ascii="Arial" w:hAnsi="Arial" w:cs="Arial"/>
          <w:sz w:val="24"/>
          <w:szCs w:val="24"/>
        </w:rPr>
        <w:t>Subject currently living in an organized care facility with extensive intervention and/or support of daily living activities.</w:t>
      </w:r>
    </w:p>
    <w:p w14:paraId="1A3E7080" w14:textId="77777777" w:rsidR="00085070" w:rsidRPr="00874ABA" w:rsidRDefault="00085070" w:rsidP="00071479">
      <w:pPr>
        <w:pStyle w:val="ListParagraph"/>
        <w:numPr>
          <w:ilvl w:val="0"/>
          <w:numId w:val="8"/>
        </w:numPr>
        <w:autoSpaceDE w:val="0"/>
        <w:autoSpaceDN w:val="0"/>
        <w:adjustRightInd w:val="0"/>
        <w:spacing w:line="360" w:lineRule="auto"/>
        <w:rPr>
          <w:rFonts w:ascii="Arial" w:hAnsi="Arial" w:cs="Arial"/>
          <w:sz w:val="24"/>
          <w:szCs w:val="24"/>
        </w:rPr>
      </w:pPr>
      <w:r w:rsidRPr="00874ABA">
        <w:rPr>
          <w:rFonts w:ascii="Arial" w:hAnsi="Arial" w:cs="Arial"/>
          <w:sz w:val="24"/>
          <w:szCs w:val="24"/>
        </w:rPr>
        <w:t>Blood donation (≥ 1 unit) within 1 month prior to Screening.</w:t>
      </w:r>
    </w:p>
    <w:p w14:paraId="686EA36F" w14:textId="77777777" w:rsidR="00085070" w:rsidRPr="00874ABA" w:rsidRDefault="00085070" w:rsidP="00071479">
      <w:pPr>
        <w:pStyle w:val="ListParagraph"/>
        <w:numPr>
          <w:ilvl w:val="0"/>
          <w:numId w:val="8"/>
        </w:numPr>
        <w:autoSpaceDE w:val="0"/>
        <w:autoSpaceDN w:val="0"/>
        <w:adjustRightInd w:val="0"/>
        <w:spacing w:line="360" w:lineRule="auto"/>
        <w:rPr>
          <w:rFonts w:ascii="Arial" w:hAnsi="Arial" w:cs="Arial"/>
          <w:sz w:val="24"/>
          <w:szCs w:val="24"/>
        </w:rPr>
      </w:pPr>
      <w:r w:rsidRPr="00874ABA">
        <w:rPr>
          <w:rFonts w:ascii="Arial" w:hAnsi="Arial" w:cs="Arial"/>
          <w:sz w:val="24"/>
          <w:szCs w:val="24"/>
        </w:rPr>
        <w:t>Inability to comply with study requirements.</w:t>
      </w:r>
    </w:p>
    <w:p w14:paraId="7780B75B" w14:textId="6BEC221E" w:rsidR="00085070" w:rsidRPr="00874ABA" w:rsidRDefault="00085070" w:rsidP="00071479">
      <w:pPr>
        <w:pStyle w:val="ListParagraph"/>
        <w:numPr>
          <w:ilvl w:val="0"/>
          <w:numId w:val="8"/>
        </w:numPr>
        <w:autoSpaceDE w:val="0"/>
        <w:autoSpaceDN w:val="0"/>
        <w:adjustRightInd w:val="0"/>
        <w:spacing w:line="360" w:lineRule="auto"/>
        <w:rPr>
          <w:rFonts w:ascii="Arial" w:hAnsi="Arial" w:cs="Arial"/>
          <w:sz w:val="24"/>
          <w:szCs w:val="24"/>
        </w:rPr>
      </w:pPr>
      <w:r w:rsidRPr="00874ABA">
        <w:rPr>
          <w:rFonts w:ascii="Arial" w:hAnsi="Arial" w:cs="Arial"/>
          <w:sz w:val="24"/>
          <w:szCs w:val="24"/>
        </w:rPr>
        <w:t xml:space="preserve">Other unspecified reasons that, in the opinion of the </w:t>
      </w:r>
      <w:r w:rsidR="0005764C">
        <w:rPr>
          <w:rFonts w:ascii="Arial" w:hAnsi="Arial" w:cs="Arial"/>
          <w:sz w:val="24"/>
          <w:szCs w:val="24"/>
        </w:rPr>
        <w:t>i</w:t>
      </w:r>
      <w:r w:rsidRPr="00874ABA">
        <w:rPr>
          <w:rFonts w:ascii="Arial" w:hAnsi="Arial" w:cs="Arial"/>
          <w:sz w:val="24"/>
          <w:szCs w:val="24"/>
        </w:rPr>
        <w:t>nvestigator or Biogen, make the subject unsuitable for enrollment.</w:t>
      </w:r>
    </w:p>
    <w:p w14:paraId="20071CB1" w14:textId="77777777" w:rsidR="00085070" w:rsidRPr="00874ABA" w:rsidRDefault="00085070" w:rsidP="00085070">
      <w:pPr>
        <w:spacing w:after="160" w:line="259" w:lineRule="auto"/>
        <w:rPr>
          <w:rFonts w:cs="Arial"/>
          <w:b/>
          <w:sz w:val="28"/>
          <w:szCs w:val="24"/>
          <w:lang w:eastAsia="en-US"/>
        </w:rPr>
      </w:pPr>
      <w:r w:rsidRPr="00874ABA">
        <w:rPr>
          <w:rFonts w:cs="Arial"/>
          <w:b/>
          <w:sz w:val="28"/>
          <w:szCs w:val="24"/>
        </w:rPr>
        <w:br w:type="page"/>
      </w:r>
    </w:p>
    <w:p w14:paraId="1F832876" w14:textId="07D97939" w:rsidR="00085070" w:rsidRPr="00874ABA" w:rsidRDefault="00085070" w:rsidP="00085070">
      <w:pPr>
        <w:pStyle w:val="Bulletlevel4"/>
        <w:numPr>
          <w:ilvl w:val="0"/>
          <w:numId w:val="0"/>
        </w:numPr>
        <w:rPr>
          <w:rFonts w:cs="Arial"/>
          <w:b/>
          <w:sz w:val="28"/>
          <w:szCs w:val="24"/>
        </w:rPr>
      </w:pPr>
      <w:r w:rsidRPr="00874ABA">
        <w:rPr>
          <w:rFonts w:cs="Arial"/>
          <w:b/>
          <w:sz w:val="28"/>
          <w:szCs w:val="24"/>
        </w:rPr>
        <w:lastRenderedPageBreak/>
        <w:t>Supplement 2</w:t>
      </w:r>
    </w:p>
    <w:p w14:paraId="5198D761" w14:textId="77777777" w:rsidR="0067353B" w:rsidRPr="00874ABA" w:rsidRDefault="0067353B" w:rsidP="0067353B">
      <w:pPr>
        <w:spacing w:after="160" w:line="259" w:lineRule="auto"/>
        <w:rPr>
          <w:rFonts w:eastAsiaTheme="minorHAnsi" w:cs="Arial"/>
          <w:b/>
          <w:bCs/>
          <w:sz w:val="24"/>
          <w:szCs w:val="24"/>
          <w:lang w:val="en-US"/>
        </w:rPr>
      </w:pPr>
      <w:r w:rsidRPr="00874ABA">
        <w:rPr>
          <w:rFonts w:eastAsiaTheme="minorHAnsi" w:cs="Arial"/>
          <w:b/>
          <w:bCs/>
          <w:sz w:val="24"/>
          <w:szCs w:val="24"/>
          <w:lang w:val="en-US"/>
        </w:rPr>
        <w:t>Discontinuation of study treatment</w:t>
      </w:r>
    </w:p>
    <w:p w14:paraId="6F8B94B4" w14:textId="77777777" w:rsidR="0067353B" w:rsidRPr="00874ABA" w:rsidRDefault="0067353B" w:rsidP="0067353B">
      <w:pPr>
        <w:spacing w:after="160"/>
        <w:rPr>
          <w:rFonts w:cs="Arial"/>
          <w:sz w:val="24"/>
          <w:szCs w:val="24"/>
        </w:rPr>
      </w:pPr>
      <w:r w:rsidRPr="00874ABA">
        <w:rPr>
          <w:rFonts w:cs="Arial"/>
          <w:sz w:val="24"/>
          <w:szCs w:val="24"/>
        </w:rPr>
        <w:t>A participant must permanently discontinue study treatment for any of the following reasons:</w:t>
      </w:r>
    </w:p>
    <w:p w14:paraId="58D4AFE1" w14:textId="77777777" w:rsidR="0067353B" w:rsidRPr="00874ABA" w:rsidRDefault="0067353B" w:rsidP="0067353B">
      <w:pPr>
        <w:pStyle w:val="ListParagraph"/>
        <w:numPr>
          <w:ilvl w:val="0"/>
          <w:numId w:val="10"/>
        </w:numPr>
        <w:rPr>
          <w:rFonts w:ascii="Arial" w:hAnsi="Arial" w:cs="Arial"/>
          <w:sz w:val="24"/>
          <w:szCs w:val="24"/>
        </w:rPr>
      </w:pPr>
      <w:r w:rsidRPr="00874ABA">
        <w:rPr>
          <w:rFonts w:ascii="Arial" w:hAnsi="Arial" w:cs="Arial"/>
          <w:sz w:val="24"/>
          <w:szCs w:val="24"/>
        </w:rPr>
        <w:t>The participant</w:t>
      </w:r>
      <w:r w:rsidRPr="00874ABA">
        <w:rPr>
          <w:rFonts w:cs="Arial"/>
          <w:sz w:val="24"/>
          <w:szCs w:val="24"/>
        </w:rPr>
        <w:t xml:space="preserve"> </w:t>
      </w:r>
      <w:r w:rsidRPr="00874ABA">
        <w:rPr>
          <w:rFonts w:ascii="Arial" w:hAnsi="Arial" w:cs="Arial"/>
          <w:sz w:val="24"/>
          <w:szCs w:val="24"/>
        </w:rPr>
        <w:t>develops any of the following:</w:t>
      </w:r>
    </w:p>
    <w:p w14:paraId="726C398E" w14:textId="53C1D359" w:rsidR="0067353B" w:rsidRPr="00874ABA" w:rsidRDefault="0067353B" w:rsidP="0067353B">
      <w:pPr>
        <w:pStyle w:val="ListParagraph"/>
        <w:numPr>
          <w:ilvl w:val="1"/>
          <w:numId w:val="10"/>
        </w:numPr>
        <w:rPr>
          <w:rFonts w:ascii="Arial" w:hAnsi="Arial" w:cs="Arial"/>
          <w:sz w:val="24"/>
          <w:szCs w:val="24"/>
        </w:rPr>
      </w:pPr>
      <w:r w:rsidRPr="00874ABA">
        <w:rPr>
          <w:rFonts w:ascii="Arial" w:hAnsi="Arial" w:cs="Arial"/>
          <w:sz w:val="24"/>
          <w:szCs w:val="24"/>
        </w:rPr>
        <w:t xml:space="preserve">ARIA-E accompanied by serious clinical symptoms except for “other medically important </w:t>
      </w:r>
      <w:proofErr w:type="gramStart"/>
      <w:r w:rsidRPr="00874ABA">
        <w:rPr>
          <w:rFonts w:ascii="Arial" w:hAnsi="Arial" w:cs="Arial"/>
          <w:sz w:val="24"/>
          <w:szCs w:val="24"/>
        </w:rPr>
        <w:t>event”</w:t>
      </w:r>
      <w:r w:rsidR="00B36DE9" w:rsidRPr="00874ABA">
        <w:rPr>
          <w:rFonts w:ascii="Arial" w:hAnsi="Arial" w:cs="Arial"/>
          <w:sz w:val="24"/>
          <w:szCs w:val="24"/>
          <w:vertAlign w:val="superscript"/>
        </w:rPr>
        <w:t>*</w:t>
      </w:r>
      <w:proofErr w:type="gramEnd"/>
    </w:p>
    <w:p w14:paraId="3CE8EF3A" w14:textId="4DD5E1E3" w:rsidR="0067353B" w:rsidRPr="00874ABA" w:rsidRDefault="0067353B" w:rsidP="0067353B">
      <w:pPr>
        <w:pStyle w:val="ListParagraph"/>
        <w:numPr>
          <w:ilvl w:val="1"/>
          <w:numId w:val="10"/>
        </w:numPr>
        <w:rPr>
          <w:rFonts w:ascii="Arial" w:hAnsi="Arial" w:cs="Arial"/>
          <w:sz w:val="24"/>
          <w:szCs w:val="24"/>
        </w:rPr>
      </w:pPr>
      <w:r w:rsidRPr="00874ABA">
        <w:rPr>
          <w:rFonts w:ascii="Arial" w:hAnsi="Arial" w:cs="Arial"/>
          <w:sz w:val="24"/>
          <w:szCs w:val="24"/>
        </w:rPr>
        <w:t xml:space="preserve">Symptomatic ARIA-H (microhemorrhages) with serious clinical symptoms except for “other medically important </w:t>
      </w:r>
      <w:proofErr w:type="gramStart"/>
      <w:r w:rsidRPr="00874ABA">
        <w:rPr>
          <w:rFonts w:ascii="Arial" w:hAnsi="Arial" w:cs="Arial"/>
          <w:sz w:val="24"/>
          <w:szCs w:val="24"/>
        </w:rPr>
        <w:t>event”</w:t>
      </w:r>
      <w:r w:rsidR="00B36DE9" w:rsidRPr="00874ABA">
        <w:rPr>
          <w:rFonts w:ascii="Arial" w:hAnsi="Arial" w:cs="Arial"/>
          <w:sz w:val="24"/>
          <w:szCs w:val="24"/>
          <w:vertAlign w:val="superscript"/>
        </w:rPr>
        <w:t>*</w:t>
      </w:r>
      <w:proofErr w:type="gramEnd"/>
      <w:r w:rsidRPr="00874ABA" w:rsidDel="008E17B5">
        <w:rPr>
          <w:rFonts w:ascii="Arial" w:hAnsi="Arial" w:cs="Arial"/>
          <w:sz w:val="24"/>
          <w:szCs w:val="24"/>
        </w:rPr>
        <w:t xml:space="preserve"> </w:t>
      </w:r>
    </w:p>
    <w:p w14:paraId="4F2E5A9D" w14:textId="2147922A" w:rsidR="0067353B" w:rsidRPr="00874ABA" w:rsidRDefault="0067353B" w:rsidP="0067353B">
      <w:pPr>
        <w:pStyle w:val="ListParagraph"/>
        <w:numPr>
          <w:ilvl w:val="1"/>
          <w:numId w:val="10"/>
        </w:numPr>
        <w:rPr>
          <w:rFonts w:ascii="Arial" w:hAnsi="Arial" w:cs="Arial"/>
          <w:sz w:val="24"/>
          <w:szCs w:val="24"/>
        </w:rPr>
      </w:pPr>
      <w:r w:rsidRPr="00874ABA">
        <w:rPr>
          <w:rFonts w:ascii="Arial" w:hAnsi="Arial" w:cs="Arial"/>
          <w:sz w:val="24"/>
          <w:szCs w:val="24"/>
        </w:rPr>
        <w:t xml:space="preserve">Symptomatic ARIA-H (superficial siderosis) with serious clinical symptoms except for “other medically important </w:t>
      </w:r>
      <w:proofErr w:type="gramStart"/>
      <w:r w:rsidRPr="00874ABA">
        <w:rPr>
          <w:rFonts w:ascii="Arial" w:hAnsi="Arial" w:cs="Arial"/>
          <w:sz w:val="24"/>
          <w:szCs w:val="24"/>
        </w:rPr>
        <w:t>event”</w:t>
      </w:r>
      <w:r w:rsidR="00B36DE9" w:rsidRPr="00874ABA">
        <w:rPr>
          <w:rFonts w:ascii="Arial" w:hAnsi="Arial" w:cs="Arial"/>
          <w:sz w:val="24"/>
          <w:szCs w:val="24"/>
          <w:vertAlign w:val="superscript"/>
        </w:rPr>
        <w:t>*</w:t>
      </w:r>
      <w:proofErr w:type="gramEnd"/>
      <w:r w:rsidRPr="00874ABA" w:rsidDel="008E17B5">
        <w:rPr>
          <w:rFonts w:ascii="Arial" w:hAnsi="Arial" w:cs="Arial"/>
          <w:sz w:val="24"/>
          <w:szCs w:val="24"/>
        </w:rPr>
        <w:t xml:space="preserve"> </w:t>
      </w:r>
    </w:p>
    <w:p w14:paraId="40570B02" w14:textId="77777777" w:rsidR="0067353B" w:rsidRPr="00874ABA" w:rsidRDefault="0067353B" w:rsidP="0067353B">
      <w:pPr>
        <w:pStyle w:val="ListParagraph"/>
        <w:numPr>
          <w:ilvl w:val="1"/>
          <w:numId w:val="10"/>
        </w:numPr>
        <w:rPr>
          <w:rFonts w:ascii="Arial" w:hAnsi="Arial" w:cs="Arial"/>
          <w:sz w:val="24"/>
          <w:szCs w:val="24"/>
        </w:rPr>
      </w:pPr>
      <w:r w:rsidRPr="00874ABA">
        <w:rPr>
          <w:rFonts w:ascii="Arial" w:hAnsi="Arial" w:cs="Arial"/>
          <w:sz w:val="24"/>
          <w:szCs w:val="24"/>
        </w:rPr>
        <w:t>ARIA-H with ≥10 microhemorrhages and/or &gt;2 focal areas of superficial siderosis</w:t>
      </w:r>
    </w:p>
    <w:p w14:paraId="664E1AA0" w14:textId="2C599C75" w:rsidR="0067353B" w:rsidRPr="00874ABA" w:rsidRDefault="0067353B" w:rsidP="0067353B">
      <w:pPr>
        <w:pStyle w:val="ListParagraph"/>
        <w:numPr>
          <w:ilvl w:val="1"/>
          <w:numId w:val="10"/>
        </w:numPr>
        <w:rPr>
          <w:rFonts w:ascii="Arial" w:hAnsi="Arial" w:cs="Arial"/>
          <w:sz w:val="24"/>
          <w:szCs w:val="24"/>
        </w:rPr>
      </w:pPr>
      <w:r w:rsidRPr="00874ABA">
        <w:rPr>
          <w:rFonts w:ascii="Arial" w:hAnsi="Arial" w:cs="Arial"/>
          <w:sz w:val="24"/>
          <w:szCs w:val="24"/>
        </w:rPr>
        <w:t>Any new incident macrohemorrhage (defined as &gt;1 cm in diameter on T2</w:t>
      </w:r>
      <w:r w:rsidR="00B36DE9" w:rsidRPr="00874ABA">
        <w:rPr>
          <w:rFonts w:ascii="Arial" w:hAnsi="Arial" w:cs="Arial"/>
          <w:sz w:val="24"/>
          <w:szCs w:val="24"/>
        </w:rPr>
        <w:t>*</w:t>
      </w:r>
      <w:r w:rsidRPr="00874ABA">
        <w:rPr>
          <w:rFonts w:ascii="Arial" w:hAnsi="Arial" w:cs="Arial"/>
          <w:sz w:val="24"/>
          <w:szCs w:val="24"/>
        </w:rPr>
        <w:t>sequence)</w:t>
      </w:r>
    </w:p>
    <w:p w14:paraId="5D60503A" w14:textId="77777777" w:rsidR="0067353B" w:rsidRPr="00874ABA" w:rsidRDefault="0067353B" w:rsidP="0067353B">
      <w:pPr>
        <w:pStyle w:val="ListParagraph"/>
        <w:numPr>
          <w:ilvl w:val="1"/>
          <w:numId w:val="10"/>
        </w:numPr>
        <w:rPr>
          <w:rFonts w:ascii="Arial" w:hAnsi="Arial" w:cs="Arial"/>
          <w:sz w:val="24"/>
          <w:szCs w:val="24"/>
        </w:rPr>
      </w:pPr>
      <w:r w:rsidRPr="00874ABA">
        <w:rPr>
          <w:rFonts w:ascii="Arial" w:hAnsi="Arial" w:cs="Arial"/>
          <w:sz w:val="24"/>
          <w:szCs w:val="24"/>
        </w:rPr>
        <w:t>The participant becomes pregnant. Study treatment must be discontinued immediately, and pregnancy must be reported</w:t>
      </w:r>
    </w:p>
    <w:p w14:paraId="52F2B4AF" w14:textId="77777777" w:rsidR="0067353B" w:rsidRPr="00874ABA" w:rsidRDefault="0067353B" w:rsidP="0067353B">
      <w:pPr>
        <w:pStyle w:val="ListParagraph"/>
        <w:numPr>
          <w:ilvl w:val="1"/>
          <w:numId w:val="10"/>
        </w:numPr>
        <w:rPr>
          <w:rFonts w:ascii="Arial" w:hAnsi="Arial" w:cs="Arial"/>
          <w:sz w:val="24"/>
          <w:szCs w:val="24"/>
        </w:rPr>
      </w:pPr>
      <w:r w:rsidRPr="00874ABA">
        <w:rPr>
          <w:rFonts w:ascii="Arial" w:hAnsi="Arial" w:cs="Arial"/>
          <w:sz w:val="24"/>
          <w:szCs w:val="24"/>
        </w:rPr>
        <w:t>The participant withdraws consent to continue study treatment</w:t>
      </w:r>
    </w:p>
    <w:p w14:paraId="440A81D4" w14:textId="77777777" w:rsidR="0067353B" w:rsidRPr="00874ABA" w:rsidRDefault="0067353B" w:rsidP="0067353B">
      <w:pPr>
        <w:pStyle w:val="ListParagraph"/>
        <w:numPr>
          <w:ilvl w:val="1"/>
          <w:numId w:val="10"/>
        </w:numPr>
        <w:rPr>
          <w:rFonts w:ascii="Arial" w:hAnsi="Arial" w:cs="Arial"/>
          <w:sz w:val="24"/>
          <w:szCs w:val="24"/>
        </w:rPr>
      </w:pPr>
      <w:r w:rsidRPr="00874ABA">
        <w:rPr>
          <w:rFonts w:ascii="Arial" w:hAnsi="Arial" w:cs="Arial"/>
          <w:sz w:val="24"/>
          <w:szCs w:val="24"/>
        </w:rPr>
        <w:t>The participant experiences a medical emergency that necessitates permanent discontinuation of study treatment or unblinding of the participant’s treatment assignment</w:t>
      </w:r>
    </w:p>
    <w:p w14:paraId="62237D34" w14:textId="77777777" w:rsidR="0067353B" w:rsidRPr="00874ABA" w:rsidRDefault="0067353B" w:rsidP="0067353B">
      <w:pPr>
        <w:pStyle w:val="ListParagraph"/>
        <w:numPr>
          <w:ilvl w:val="1"/>
          <w:numId w:val="10"/>
        </w:numPr>
        <w:rPr>
          <w:rFonts w:ascii="Arial" w:hAnsi="Arial" w:cs="Arial"/>
          <w:sz w:val="24"/>
          <w:szCs w:val="24"/>
        </w:rPr>
      </w:pPr>
      <w:r w:rsidRPr="00874ABA">
        <w:rPr>
          <w:rFonts w:ascii="Arial" w:hAnsi="Arial" w:cs="Arial"/>
          <w:sz w:val="24"/>
          <w:szCs w:val="24"/>
        </w:rPr>
        <w:t>The participant experiences an adverse event that does not resolve or requires continued treatment that meets exclusionary criteria</w:t>
      </w:r>
    </w:p>
    <w:p w14:paraId="06870FE8" w14:textId="77777777" w:rsidR="0067353B" w:rsidRPr="00874ABA" w:rsidRDefault="0067353B" w:rsidP="0067353B">
      <w:pPr>
        <w:pStyle w:val="ListParagraph"/>
        <w:numPr>
          <w:ilvl w:val="1"/>
          <w:numId w:val="10"/>
        </w:numPr>
        <w:rPr>
          <w:rFonts w:ascii="Arial" w:hAnsi="Arial" w:cs="Arial"/>
          <w:sz w:val="24"/>
          <w:szCs w:val="24"/>
        </w:rPr>
      </w:pPr>
      <w:r w:rsidRPr="00874ABA">
        <w:rPr>
          <w:rFonts w:ascii="Arial" w:hAnsi="Arial" w:cs="Arial"/>
          <w:sz w:val="24"/>
          <w:szCs w:val="24"/>
        </w:rPr>
        <w:t>The participant experiences a severe infusion reaction</w:t>
      </w:r>
    </w:p>
    <w:p w14:paraId="0679ECDC" w14:textId="77791B31" w:rsidR="0067353B" w:rsidRPr="00874ABA" w:rsidRDefault="0067353B" w:rsidP="0067353B">
      <w:pPr>
        <w:pStyle w:val="ListParagraph"/>
        <w:numPr>
          <w:ilvl w:val="1"/>
          <w:numId w:val="10"/>
        </w:numPr>
        <w:rPr>
          <w:rFonts w:ascii="Arial" w:hAnsi="Arial" w:cs="Arial"/>
          <w:sz w:val="24"/>
          <w:szCs w:val="24"/>
        </w:rPr>
      </w:pPr>
      <w:r w:rsidRPr="00874ABA">
        <w:rPr>
          <w:rFonts w:ascii="Arial" w:hAnsi="Arial" w:cs="Arial"/>
          <w:sz w:val="24"/>
          <w:szCs w:val="24"/>
        </w:rPr>
        <w:t xml:space="preserve">At the discretion of the </w:t>
      </w:r>
      <w:r w:rsidR="0005764C">
        <w:rPr>
          <w:rFonts w:ascii="Arial" w:hAnsi="Arial" w:cs="Arial"/>
          <w:sz w:val="24"/>
          <w:szCs w:val="24"/>
        </w:rPr>
        <w:t>i</w:t>
      </w:r>
      <w:r w:rsidRPr="00874ABA">
        <w:rPr>
          <w:rFonts w:ascii="Arial" w:hAnsi="Arial" w:cs="Arial"/>
          <w:sz w:val="24"/>
          <w:szCs w:val="24"/>
        </w:rPr>
        <w:t>nvestigator for medical reasons</w:t>
      </w:r>
    </w:p>
    <w:p w14:paraId="0E806288" w14:textId="5066DBA0" w:rsidR="0067353B" w:rsidRPr="00874ABA" w:rsidRDefault="0067353B" w:rsidP="0067353B">
      <w:pPr>
        <w:pStyle w:val="ListParagraph"/>
        <w:numPr>
          <w:ilvl w:val="1"/>
          <w:numId w:val="10"/>
        </w:numPr>
        <w:rPr>
          <w:rFonts w:ascii="Arial" w:hAnsi="Arial" w:cs="Arial"/>
          <w:sz w:val="24"/>
          <w:szCs w:val="24"/>
        </w:rPr>
      </w:pPr>
      <w:r w:rsidRPr="00874ABA">
        <w:rPr>
          <w:rFonts w:ascii="Arial" w:hAnsi="Arial" w:cs="Arial"/>
          <w:sz w:val="24"/>
          <w:szCs w:val="24"/>
        </w:rPr>
        <w:t xml:space="preserve">At the discretion of the </w:t>
      </w:r>
      <w:r w:rsidR="0005764C">
        <w:rPr>
          <w:rFonts w:ascii="Arial" w:hAnsi="Arial" w:cs="Arial"/>
          <w:sz w:val="24"/>
          <w:szCs w:val="24"/>
        </w:rPr>
        <w:t>i</w:t>
      </w:r>
      <w:r w:rsidRPr="00874ABA">
        <w:rPr>
          <w:rFonts w:ascii="Arial" w:hAnsi="Arial" w:cs="Arial"/>
          <w:sz w:val="24"/>
          <w:szCs w:val="24"/>
        </w:rPr>
        <w:t>nvestigator or Sponsor for noncompliance</w:t>
      </w:r>
    </w:p>
    <w:p w14:paraId="6E50AE21" w14:textId="77777777" w:rsidR="0067353B" w:rsidRPr="00874ABA" w:rsidRDefault="0067353B" w:rsidP="0067353B">
      <w:pPr>
        <w:spacing w:after="160"/>
        <w:rPr>
          <w:rFonts w:cs="Arial"/>
          <w:sz w:val="24"/>
          <w:szCs w:val="24"/>
        </w:rPr>
      </w:pPr>
      <w:r w:rsidRPr="00874ABA">
        <w:rPr>
          <w:rFonts w:cs="Arial"/>
          <w:sz w:val="24"/>
          <w:szCs w:val="24"/>
        </w:rPr>
        <w:t>A participant who discontinues treatment is to remain in the study, attend a follow-up visit 18 weeks after the final dose, and immediately continue protocol-required tests and assessments at a subset of the clinic visits until the end of the study per the schedule of events or until the participant withdraws consent.</w:t>
      </w:r>
    </w:p>
    <w:p w14:paraId="28352712" w14:textId="681B43F2" w:rsidR="0067353B" w:rsidRPr="00874ABA" w:rsidRDefault="00B36DE9" w:rsidP="0067353B">
      <w:pPr>
        <w:spacing w:after="160" w:line="259" w:lineRule="auto"/>
        <w:rPr>
          <w:rFonts w:cs="Arial"/>
          <w:sz w:val="24"/>
          <w:szCs w:val="24"/>
        </w:rPr>
      </w:pPr>
      <w:r w:rsidRPr="00874ABA">
        <w:rPr>
          <w:rFonts w:cs="Arial"/>
          <w:sz w:val="24"/>
          <w:szCs w:val="24"/>
          <w:vertAlign w:val="superscript"/>
        </w:rPr>
        <w:t>*</w:t>
      </w:r>
      <w:r w:rsidR="0067353B" w:rsidRPr="00874ABA">
        <w:rPr>
          <w:rFonts w:cs="Arial"/>
          <w:sz w:val="24"/>
          <w:szCs w:val="24"/>
        </w:rPr>
        <w:t xml:space="preserve">Including those that are life-threatening (in the opinion of the </w:t>
      </w:r>
      <w:r w:rsidR="0005764C">
        <w:rPr>
          <w:rFonts w:cs="Arial"/>
          <w:sz w:val="24"/>
          <w:szCs w:val="24"/>
        </w:rPr>
        <w:t>i</w:t>
      </w:r>
      <w:r w:rsidR="0067353B" w:rsidRPr="00874ABA">
        <w:rPr>
          <w:rFonts w:cs="Arial"/>
          <w:sz w:val="24"/>
          <w:szCs w:val="24"/>
        </w:rPr>
        <w:t>nvestigator), require inpatient hospitalization or prolongation of existing hospitalization, and/or result in persistent or significant disability/incapacity or a congenital anomaly/birth defect.</w:t>
      </w:r>
    </w:p>
    <w:p w14:paraId="4EB4B9E4" w14:textId="77777777" w:rsidR="0067353B" w:rsidRPr="00874ABA" w:rsidRDefault="0067353B">
      <w:pPr>
        <w:spacing w:after="160" w:line="259" w:lineRule="auto"/>
        <w:rPr>
          <w:rFonts w:eastAsiaTheme="minorHAnsi" w:cs="Arial"/>
          <w:b/>
          <w:bCs/>
          <w:sz w:val="24"/>
          <w:szCs w:val="24"/>
          <w:lang w:val="en-US"/>
        </w:rPr>
      </w:pPr>
      <w:r w:rsidRPr="00874ABA">
        <w:rPr>
          <w:rFonts w:eastAsiaTheme="minorHAnsi" w:cs="Arial"/>
          <w:b/>
          <w:bCs/>
          <w:sz w:val="24"/>
          <w:szCs w:val="24"/>
          <w:lang w:val="en-US"/>
        </w:rPr>
        <w:br w:type="page"/>
      </w:r>
    </w:p>
    <w:p w14:paraId="5A123536" w14:textId="3EFFCCDE" w:rsidR="0067353B" w:rsidRPr="00874ABA" w:rsidRDefault="0067353B" w:rsidP="0067353B">
      <w:pPr>
        <w:pStyle w:val="Bulletlevel4"/>
        <w:numPr>
          <w:ilvl w:val="0"/>
          <w:numId w:val="0"/>
        </w:numPr>
        <w:rPr>
          <w:rFonts w:cs="Arial"/>
          <w:b/>
          <w:sz w:val="28"/>
          <w:szCs w:val="24"/>
        </w:rPr>
      </w:pPr>
      <w:r w:rsidRPr="00874ABA">
        <w:rPr>
          <w:rFonts w:cs="Arial"/>
          <w:b/>
          <w:sz w:val="28"/>
          <w:szCs w:val="24"/>
        </w:rPr>
        <w:lastRenderedPageBreak/>
        <w:t>Supplement 3</w:t>
      </w:r>
    </w:p>
    <w:p w14:paraId="05B3FD61" w14:textId="4FF39555" w:rsidR="00085070" w:rsidRPr="00874ABA" w:rsidRDefault="00085070" w:rsidP="00085070">
      <w:pPr>
        <w:spacing w:after="160" w:line="259" w:lineRule="auto"/>
        <w:rPr>
          <w:rFonts w:eastAsiaTheme="minorHAnsi" w:cs="Arial"/>
          <w:b/>
          <w:bCs/>
          <w:sz w:val="24"/>
          <w:szCs w:val="24"/>
          <w:lang w:val="en-US"/>
        </w:rPr>
      </w:pPr>
      <w:r w:rsidRPr="00874ABA">
        <w:rPr>
          <w:rFonts w:eastAsiaTheme="minorHAnsi" w:cs="Arial"/>
          <w:b/>
          <w:bCs/>
          <w:sz w:val="24"/>
          <w:szCs w:val="24"/>
          <w:lang w:val="en-US"/>
        </w:rPr>
        <w:t xml:space="preserve">Description of Study Populations and Statistical Models </w:t>
      </w:r>
    </w:p>
    <w:p w14:paraId="650C22CA" w14:textId="77777777" w:rsidR="00085070" w:rsidRPr="00874ABA" w:rsidRDefault="00085070" w:rsidP="00085070">
      <w:pPr>
        <w:pStyle w:val="Bulletlevel4"/>
        <w:numPr>
          <w:ilvl w:val="0"/>
          <w:numId w:val="0"/>
        </w:numPr>
        <w:rPr>
          <w:rFonts w:eastAsiaTheme="minorHAnsi" w:cs="Arial"/>
          <w:b/>
          <w:bCs/>
          <w:sz w:val="24"/>
          <w:szCs w:val="24"/>
          <w:lang w:val="en-US"/>
        </w:rPr>
      </w:pPr>
    </w:p>
    <w:p w14:paraId="1D9F9433" w14:textId="77777777" w:rsidR="00085070" w:rsidRPr="00874ABA" w:rsidRDefault="00085070" w:rsidP="00085070">
      <w:pPr>
        <w:spacing w:after="160" w:line="259" w:lineRule="auto"/>
        <w:rPr>
          <w:rFonts w:eastAsiaTheme="minorHAnsi" w:cs="Arial"/>
          <w:b/>
          <w:bCs/>
          <w:sz w:val="24"/>
          <w:szCs w:val="24"/>
          <w:lang w:val="en-US"/>
        </w:rPr>
      </w:pPr>
      <w:r w:rsidRPr="00874ABA">
        <w:rPr>
          <w:rFonts w:eastAsiaTheme="minorHAnsi" w:cs="Arial"/>
          <w:b/>
          <w:bCs/>
          <w:sz w:val="24"/>
          <w:szCs w:val="24"/>
          <w:lang w:val="en-US"/>
        </w:rPr>
        <w:t>Analysis Population (verbatim from Statistical Analysis Plan)</w:t>
      </w:r>
    </w:p>
    <w:p w14:paraId="0E0522D3" w14:textId="77777777" w:rsidR="00085070" w:rsidRPr="00874ABA" w:rsidRDefault="00085070" w:rsidP="00071479">
      <w:pPr>
        <w:pStyle w:val="Bulletlevel4"/>
        <w:numPr>
          <w:ilvl w:val="0"/>
          <w:numId w:val="9"/>
        </w:numPr>
        <w:rPr>
          <w:rFonts w:eastAsiaTheme="minorHAnsi" w:cs="Arial"/>
          <w:sz w:val="24"/>
          <w:szCs w:val="24"/>
          <w:lang w:val="en-US"/>
        </w:rPr>
      </w:pPr>
      <w:r w:rsidRPr="00874ABA">
        <w:rPr>
          <w:rFonts w:eastAsiaTheme="minorHAnsi" w:cs="Arial"/>
          <w:sz w:val="24"/>
          <w:szCs w:val="24"/>
          <w:lang w:val="en-US"/>
        </w:rPr>
        <w:t xml:space="preserve">Intent-to-treat (ITT) population: </w:t>
      </w:r>
    </w:p>
    <w:p w14:paraId="7615B843" w14:textId="77777777" w:rsidR="00085070" w:rsidRPr="00874ABA" w:rsidRDefault="00085070" w:rsidP="00085070">
      <w:pPr>
        <w:pStyle w:val="Bulletlevel4"/>
        <w:numPr>
          <w:ilvl w:val="0"/>
          <w:numId w:val="0"/>
        </w:numPr>
        <w:ind w:left="720"/>
        <w:rPr>
          <w:rFonts w:eastAsiaTheme="minorHAnsi" w:cs="Arial"/>
          <w:sz w:val="24"/>
          <w:szCs w:val="24"/>
          <w:lang w:val="en-US"/>
        </w:rPr>
      </w:pPr>
      <w:r w:rsidRPr="00874ABA">
        <w:rPr>
          <w:rFonts w:eastAsiaTheme="minorHAnsi" w:cs="Arial"/>
          <w:sz w:val="24"/>
          <w:szCs w:val="24"/>
          <w:lang w:val="en-US"/>
        </w:rPr>
        <w:t>The ITT population is defined as all randomized subjects who received at least one dose of study treatment (aducanumab or placebo).</w:t>
      </w:r>
    </w:p>
    <w:p w14:paraId="3A4AEAB6" w14:textId="77777777" w:rsidR="00085070" w:rsidRPr="00874ABA" w:rsidRDefault="00085070" w:rsidP="00071479">
      <w:pPr>
        <w:pStyle w:val="Bulletlevel4"/>
        <w:numPr>
          <w:ilvl w:val="0"/>
          <w:numId w:val="9"/>
        </w:numPr>
        <w:rPr>
          <w:rFonts w:eastAsiaTheme="minorHAnsi" w:cs="Arial"/>
          <w:sz w:val="24"/>
          <w:szCs w:val="24"/>
          <w:lang w:val="en-US"/>
        </w:rPr>
      </w:pPr>
      <w:r w:rsidRPr="00874ABA">
        <w:rPr>
          <w:rFonts w:eastAsiaTheme="minorHAnsi" w:cs="Arial"/>
          <w:sz w:val="24"/>
          <w:szCs w:val="24"/>
          <w:lang w:val="en-US"/>
        </w:rPr>
        <w:t>Per-protocol (PP) population:</w:t>
      </w:r>
    </w:p>
    <w:p w14:paraId="671B1212" w14:textId="77777777" w:rsidR="00085070" w:rsidRPr="00874ABA" w:rsidRDefault="00085070" w:rsidP="00085070">
      <w:pPr>
        <w:pStyle w:val="Bulletlevel4"/>
        <w:numPr>
          <w:ilvl w:val="0"/>
          <w:numId w:val="0"/>
        </w:numPr>
        <w:ind w:left="720"/>
        <w:rPr>
          <w:rFonts w:eastAsiaTheme="minorHAnsi" w:cs="Arial"/>
          <w:sz w:val="24"/>
          <w:szCs w:val="24"/>
          <w:lang w:val="en-US"/>
        </w:rPr>
      </w:pPr>
      <w:r w:rsidRPr="00874ABA">
        <w:rPr>
          <w:rFonts w:eastAsiaTheme="minorHAnsi" w:cs="Arial"/>
          <w:sz w:val="24"/>
          <w:szCs w:val="24"/>
          <w:lang w:val="en-US"/>
        </w:rPr>
        <w:t xml:space="preserve">The PP population is defined as all subjects in the ITT population </w:t>
      </w:r>
      <w:proofErr w:type="gramStart"/>
      <w:r w:rsidRPr="00874ABA">
        <w:rPr>
          <w:rFonts w:eastAsiaTheme="minorHAnsi" w:cs="Arial"/>
          <w:sz w:val="24"/>
          <w:szCs w:val="24"/>
          <w:lang w:val="en-US"/>
        </w:rPr>
        <w:t>and also</w:t>
      </w:r>
      <w:proofErr w:type="gramEnd"/>
    </w:p>
    <w:p w14:paraId="14912119" w14:textId="77777777" w:rsidR="00085070" w:rsidRPr="00874ABA" w:rsidRDefault="00085070" w:rsidP="00071479">
      <w:pPr>
        <w:pStyle w:val="Bulletlevel4"/>
        <w:numPr>
          <w:ilvl w:val="1"/>
          <w:numId w:val="9"/>
        </w:numPr>
        <w:rPr>
          <w:rFonts w:eastAsiaTheme="minorHAnsi" w:cs="Arial"/>
          <w:sz w:val="24"/>
          <w:szCs w:val="24"/>
          <w:lang w:val="en-US"/>
        </w:rPr>
      </w:pPr>
      <w:r w:rsidRPr="00874ABA">
        <w:rPr>
          <w:rFonts w:eastAsiaTheme="minorHAnsi" w:cs="Arial"/>
          <w:sz w:val="24"/>
          <w:szCs w:val="24"/>
          <w:lang w:val="en-US"/>
        </w:rPr>
        <w:t>had no violations of the following inclusion criteria:</w:t>
      </w:r>
    </w:p>
    <w:p w14:paraId="1EAF666B" w14:textId="77777777" w:rsidR="00085070" w:rsidRPr="00874ABA" w:rsidRDefault="00085070" w:rsidP="00071479">
      <w:pPr>
        <w:pStyle w:val="Bulletlevel4"/>
        <w:numPr>
          <w:ilvl w:val="2"/>
          <w:numId w:val="9"/>
        </w:numPr>
        <w:rPr>
          <w:rFonts w:eastAsiaTheme="minorHAnsi" w:cs="Arial"/>
          <w:sz w:val="24"/>
          <w:szCs w:val="24"/>
          <w:lang w:val="en-US"/>
        </w:rPr>
      </w:pPr>
      <w:r w:rsidRPr="00874ABA">
        <w:rPr>
          <w:rFonts w:eastAsiaTheme="minorHAnsi" w:cs="Arial"/>
          <w:sz w:val="24"/>
          <w:szCs w:val="24"/>
          <w:lang w:val="en-US"/>
        </w:rPr>
        <w:t xml:space="preserve">Must have at least 6 years of education or work experience to exclude mental deficits other than MCI or mild </w:t>
      </w:r>
      <w:proofErr w:type="gramStart"/>
      <w:r w:rsidRPr="00874ABA">
        <w:rPr>
          <w:rFonts w:eastAsiaTheme="minorHAnsi" w:cs="Arial"/>
          <w:sz w:val="24"/>
          <w:szCs w:val="24"/>
          <w:lang w:val="en-US"/>
        </w:rPr>
        <w:t>AD;</w:t>
      </w:r>
      <w:proofErr w:type="gramEnd"/>
    </w:p>
    <w:p w14:paraId="49F8E266" w14:textId="77777777" w:rsidR="00085070" w:rsidRPr="00874ABA" w:rsidRDefault="00085070" w:rsidP="00071479">
      <w:pPr>
        <w:pStyle w:val="Bulletlevel4"/>
        <w:numPr>
          <w:ilvl w:val="2"/>
          <w:numId w:val="9"/>
        </w:numPr>
        <w:rPr>
          <w:rFonts w:eastAsiaTheme="minorHAnsi" w:cs="Arial"/>
          <w:sz w:val="24"/>
          <w:szCs w:val="24"/>
          <w:lang w:val="en-US"/>
        </w:rPr>
      </w:pPr>
      <w:r w:rsidRPr="00874ABA">
        <w:rPr>
          <w:rFonts w:eastAsiaTheme="minorHAnsi" w:cs="Arial"/>
          <w:sz w:val="24"/>
          <w:szCs w:val="24"/>
          <w:lang w:val="en-US"/>
        </w:rPr>
        <w:t xml:space="preserve">Must have a positive amyloid PET </w:t>
      </w:r>
      <w:proofErr w:type="gramStart"/>
      <w:r w:rsidRPr="00874ABA">
        <w:rPr>
          <w:rFonts w:eastAsiaTheme="minorHAnsi" w:cs="Arial"/>
          <w:sz w:val="24"/>
          <w:szCs w:val="24"/>
          <w:lang w:val="en-US"/>
        </w:rPr>
        <w:t>scan;</w:t>
      </w:r>
      <w:proofErr w:type="gramEnd"/>
    </w:p>
    <w:p w14:paraId="6C12407D" w14:textId="77777777" w:rsidR="00085070" w:rsidRPr="00874ABA" w:rsidRDefault="00085070" w:rsidP="00071479">
      <w:pPr>
        <w:pStyle w:val="Bulletlevel4"/>
        <w:numPr>
          <w:ilvl w:val="2"/>
          <w:numId w:val="9"/>
        </w:numPr>
        <w:rPr>
          <w:rFonts w:eastAsiaTheme="minorHAnsi" w:cs="Arial"/>
          <w:sz w:val="24"/>
          <w:szCs w:val="24"/>
          <w:lang w:val="en-US"/>
        </w:rPr>
      </w:pPr>
      <w:r w:rsidRPr="00874ABA">
        <w:rPr>
          <w:rFonts w:eastAsiaTheme="minorHAnsi" w:cs="Arial"/>
          <w:sz w:val="24"/>
          <w:szCs w:val="24"/>
          <w:lang w:val="en-US"/>
        </w:rPr>
        <w:t>Must have:</w:t>
      </w:r>
    </w:p>
    <w:p w14:paraId="1340E8A9" w14:textId="77777777" w:rsidR="00085070" w:rsidRPr="00874ABA" w:rsidRDefault="00085070" w:rsidP="00071479">
      <w:pPr>
        <w:pStyle w:val="Bulletlevel4"/>
        <w:numPr>
          <w:ilvl w:val="3"/>
          <w:numId w:val="9"/>
        </w:numPr>
        <w:rPr>
          <w:rFonts w:eastAsiaTheme="minorHAnsi" w:cs="Arial"/>
          <w:sz w:val="24"/>
          <w:szCs w:val="24"/>
          <w:lang w:val="en-US"/>
        </w:rPr>
      </w:pPr>
      <w:r w:rsidRPr="00874ABA">
        <w:rPr>
          <w:rFonts w:eastAsiaTheme="minorHAnsi" w:cs="Arial"/>
          <w:sz w:val="24"/>
          <w:szCs w:val="24"/>
          <w:lang w:val="en-US"/>
        </w:rPr>
        <w:t xml:space="preserve">A CDR-Global Score of </w:t>
      </w:r>
      <w:proofErr w:type="gramStart"/>
      <w:r w:rsidRPr="00874ABA">
        <w:rPr>
          <w:rFonts w:eastAsiaTheme="minorHAnsi" w:cs="Arial"/>
          <w:sz w:val="24"/>
          <w:szCs w:val="24"/>
          <w:lang w:val="en-US"/>
        </w:rPr>
        <w:t>0.5;</w:t>
      </w:r>
      <w:proofErr w:type="gramEnd"/>
    </w:p>
    <w:p w14:paraId="3C2A4894" w14:textId="77777777" w:rsidR="00085070" w:rsidRPr="00874ABA" w:rsidRDefault="00085070" w:rsidP="00071479">
      <w:pPr>
        <w:pStyle w:val="Bulletlevel4"/>
        <w:numPr>
          <w:ilvl w:val="3"/>
          <w:numId w:val="9"/>
        </w:numPr>
        <w:rPr>
          <w:rFonts w:eastAsiaTheme="minorHAnsi" w:cs="Arial"/>
          <w:sz w:val="24"/>
          <w:szCs w:val="24"/>
          <w:lang w:val="en-US"/>
        </w:rPr>
      </w:pPr>
      <w:r w:rsidRPr="00874ABA">
        <w:rPr>
          <w:rFonts w:eastAsiaTheme="minorHAnsi" w:cs="Arial"/>
          <w:sz w:val="24"/>
          <w:szCs w:val="24"/>
          <w:lang w:val="en-US"/>
        </w:rPr>
        <w:t>A Repeatable Battery for Assessment of Neuropsychological Status (RBANS) score of 85 or lower indicative of objective cognitive impairment (based upon the Delayed Memory Index score</w:t>
      </w:r>
      <w:proofErr w:type="gramStart"/>
      <w:r w:rsidRPr="00874ABA">
        <w:rPr>
          <w:rFonts w:eastAsiaTheme="minorHAnsi" w:cs="Arial"/>
          <w:sz w:val="24"/>
          <w:szCs w:val="24"/>
          <w:lang w:val="en-US"/>
        </w:rPr>
        <w:t>);</w:t>
      </w:r>
      <w:proofErr w:type="gramEnd"/>
    </w:p>
    <w:p w14:paraId="3D2F1D8C" w14:textId="77777777" w:rsidR="00085070" w:rsidRPr="00874ABA" w:rsidRDefault="00085070" w:rsidP="00071479">
      <w:pPr>
        <w:pStyle w:val="Bulletlevel4"/>
        <w:numPr>
          <w:ilvl w:val="3"/>
          <w:numId w:val="9"/>
        </w:numPr>
        <w:rPr>
          <w:rFonts w:eastAsiaTheme="minorHAnsi" w:cs="Arial"/>
          <w:sz w:val="24"/>
          <w:szCs w:val="24"/>
          <w:lang w:val="en-US"/>
        </w:rPr>
      </w:pPr>
      <w:r w:rsidRPr="00874ABA">
        <w:rPr>
          <w:rFonts w:eastAsiaTheme="minorHAnsi" w:cs="Arial"/>
          <w:sz w:val="24"/>
          <w:szCs w:val="24"/>
          <w:lang w:val="en-US"/>
        </w:rPr>
        <w:t>An MMSE score between 24 and 30 (inclusive).</w:t>
      </w:r>
    </w:p>
    <w:p w14:paraId="538D5E26" w14:textId="77777777" w:rsidR="00085070" w:rsidRPr="00874ABA" w:rsidRDefault="00085070" w:rsidP="00071479">
      <w:pPr>
        <w:pStyle w:val="Bulletlevel4"/>
        <w:numPr>
          <w:ilvl w:val="1"/>
          <w:numId w:val="9"/>
        </w:numPr>
        <w:rPr>
          <w:rFonts w:eastAsiaTheme="minorHAnsi" w:cs="Arial"/>
          <w:sz w:val="24"/>
          <w:szCs w:val="24"/>
          <w:lang w:val="en-US"/>
        </w:rPr>
      </w:pPr>
      <w:r w:rsidRPr="00874ABA">
        <w:rPr>
          <w:rFonts w:eastAsiaTheme="minorHAnsi" w:cs="Arial"/>
          <w:sz w:val="24"/>
          <w:szCs w:val="24"/>
          <w:lang w:val="en-US"/>
        </w:rPr>
        <w:t xml:space="preserve">had at least 14 </w:t>
      </w:r>
      <w:proofErr w:type="gramStart"/>
      <w:r w:rsidRPr="00874ABA">
        <w:rPr>
          <w:rFonts w:eastAsiaTheme="minorHAnsi" w:cs="Arial"/>
          <w:sz w:val="24"/>
          <w:szCs w:val="24"/>
          <w:lang w:val="en-US"/>
        </w:rPr>
        <w:t>infusions.*</w:t>
      </w:r>
      <w:proofErr w:type="gramEnd"/>
    </w:p>
    <w:p w14:paraId="7161ACEC" w14:textId="77777777" w:rsidR="00085070" w:rsidRPr="00874ABA" w:rsidRDefault="00085070" w:rsidP="00071479">
      <w:pPr>
        <w:pStyle w:val="Bulletlevel4"/>
        <w:numPr>
          <w:ilvl w:val="1"/>
          <w:numId w:val="9"/>
        </w:numPr>
        <w:rPr>
          <w:rFonts w:eastAsiaTheme="minorHAnsi" w:cs="Arial"/>
          <w:sz w:val="24"/>
          <w:szCs w:val="24"/>
          <w:lang w:val="en-US"/>
        </w:rPr>
      </w:pPr>
      <w:r w:rsidRPr="00874ABA">
        <w:rPr>
          <w:rFonts w:eastAsiaTheme="minorHAnsi" w:cs="Arial"/>
          <w:sz w:val="24"/>
          <w:szCs w:val="24"/>
          <w:lang w:val="en-US"/>
        </w:rPr>
        <w:t>did not make any change to concomitant AD symptomatic medications during the study.</w:t>
      </w:r>
    </w:p>
    <w:p w14:paraId="4B33C0C3" w14:textId="77777777" w:rsidR="00085070" w:rsidRPr="00874ABA" w:rsidRDefault="00085070" w:rsidP="00071479">
      <w:pPr>
        <w:pStyle w:val="Bulletlevel4"/>
        <w:numPr>
          <w:ilvl w:val="0"/>
          <w:numId w:val="9"/>
        </w:numPr>
        <w:rPr>
          <w:rFonts w:eastAsiaTheme="minorHAnsi" w:cs="Arial"/>
          <w:sz w:val="24"/>
          <w:szCs w:val="24"/>
          <w:lang w:val="en-US"/>
        </w:rPr>
      </w:pPr>
      <w:r w:rsidRPr="00874ABA">
        <w:rPr>
          <w:rFonts w:eastAsiaTheme="minorHAnsi" w:cs="Arial"/>
          <w:sz w:val="24"/>
          <w:szCs w:val="24"/>
          <w:vertAlign w:val="superscript"/>
          <w:lang w:val="en-US"/>
        </w:rPr>
        <w:t>18</w:t>
      </w:r>
      <w:r w:rsidRPr="00874ABA">
        <w:rPr>
          <w:rFonts w:eastAsiaTheme="minorHAnsi" w:cs="Arial"/>
          <w:sz w:val="24"/>
          <w:szCs w:val="24"/>
          <w:lang w:val="en-US"/>
        </w:rPr>
        <w:t xml:space="preserve">F-florbetapir amyloid PET analysis population: </w:t>
      </w:r>
    </w:p>
    <w:p w14:paraId="1B76C964" w14:textId="77777777" w:rsidR="00085070" w:rsidRPr="00874ABA" w:rsidRDefault="00085070" w:rsidP="00085070">
      <w:pPr>
        <w:pStyle w:val="Bulletlevel4"/>
        <w:numPr>
          <w:ilvl w:val="0"/>
          <w:numId w:val="0"/>
        </w:numPr>
        <w:ind w:left="851"/>
        <w:rPr>
          <w:rFonts w:cs="Arial"/>
          <w:sz w:val="23"/>
          <w:szCs w:val="23"/>
        </w:rPr>
      </w:pPr>
      <w:r w:rsidRPr="00874ABA">
        <w:rPr>
          <w:rFonts w:eastAsiaTheme="minorHAnsi" w:cs="Arial"/>
          <w:sz w:val="24"/>
          <w:szCs w:val="24"/>
          <w:lang w:val="en-US"/>
        </w:rPr>
        <w:t xml:space="preserve">The </w:t>
      </w:r>
      <w:r w:rsidRPr="00874ABA">
        <w:rPr>
          <w:rFonts w:eastAsiaTheme="minorHAnsi" w:cs="Arial"/>
          <w:sz w:val="24"/>
          <w:szCs w:val="24"/>
          <w:vertAlign w:val="superscript"/>
          <w:lang w:val="en-US"/>
        </w:rPr>
        <w:t>18</w:t>
      </w:r>
      <w:r w:rsidRPr="00874ABA">
        <w:rPr>
          <w:rFonts w:eastAsiaTheme="minorHAnsi" w:cs="Arial"/>
          <w:sz w:val="24"/>
          <w:szCs w:val="24"/>
          <w:lang w:val="en-US"/>
        </w:rPr>
        <w:t xml:space="preserve">F-florbetapir amyloid PET analysis population is defined as all randomized subjects who received at least one dose of study treatment (aducanumab or placebo), used </w:t>
      </w:r>
      <w:r w:rsidRPr="00874ABA">
        <w:rPr>
          <w:rFonts w:eastAsiaTheme="minorHAnsi" w:cs="Arial"/>
          <w:sz w:val="24"/>
          <w:szCs w:val="24"/>
          <w:vertAlign w:val="superscript"/>
          <w:lang w:val="en-US"/>
        </w:rPr>
        <w:t>18</w:t>
      </w:r>
      <w:r w:rsidRPr="00874ABA">
        <w:rPr>
          <w:rFonts w:eastAsiaTheme="minorHAnsi" w:cs="Arial"/>
          <w:sz w:val="24"/>
          <w:szCs w:val="24"/>
          <w:lang w:val="en-US"/>
        </w:rPr>
        <w:t>F-florbetapir ligand for amyloid PET scan, and had an evaluable baseline amyloid PET SUVR value for the composite region-of-interest using cerebellum as the reference region</w:t>
      </w:r>
      <w:r w:rsidRPr="00874ABA">
        <w:rPr>
          <w:rFonts w:cs="Arial"/>
          <w:sz w:val="23"/>
          <w:szCs w:val="23"/>
        </w:rPr>
        <w:t>.</w:t>
      </w:r>
    </w:p>
    <w:p w14:paraId="3718BEEC" w14:textId="77777777" w:rsidR="00085070" w:rsidRPr="00874ABA" w:rsidRDefault="00085070" w:rsidP="00071479">
      <w:pPr>
        <w:pStyle w:val="Bulletlevel4"/>
        <w:numPr>
          <w:ilvl w:val="0"/>
          <w:numId w:val="9"/>
        </w:numPr>
        <w:rPr>
          <w:rFonts w:eastAsiaTheme="minorHAnsi" w:cs="Arial"/>
          <w:sz w:val="24"/>
          <w:szCs w:val="24"/>
          <w:lang w:val="en-US"/>
        </w:rPr>
      </w:pPr>
      <w:r w:rsidRPr="00874ABA">
        <w:rPr>
          <w:rFonts w:eastAsiaTheme="minorHAnsi" w:cs="Arial"/>
          <w:sz w:val="24"/>
          <w:szCs w:val="24"/>
          <w:lang w:val="en-US"/>
        </w:rPr>
        <w:t>Tau PET analysis population:</w:t>
      </w:r>
    </w:p>
    <w:p w14:paraId="4B61230C" w14:textId="77777777" w:rsidR="00085070" w:rsidRPr="00874ABA" w:rsidRDefault="00085070" w:rsidP="00085070">
      <w:pPr>
        <w:pStyle w:val="Bulletlevel4"/>
        <w:numPr>
          <w:ilvl w:val="0"/>
          <w:numId w:val="0"/>
        </w:numPr>
        <w:ind w:left="720"/>
        <w:rPr>
          <w:rFonts w:eastAsiaTheme="minorHAnsi" w:cs="Arial"/>
          <w:sz w:val="24"/>
          <w:szCs w:val="24"/>
          <w:lang w:val="en-US"/>
        </w:rPr>
      </w:pPr>
      <w:r w:rsidRPr="00874ABA">
        <w:rPr>
          <w:rFonts w:eastAsiaTheme="minorHAnsi" w:cs="Arial"/>
          <w:sz w:val="24"/>
          <w:szCs w:val="24"/>
          <w:lang w:val="en-US"/>
        </w:rPr>
        <w:t xml:space="preserve">The tau PET modified analysis population is defined as all randomized subjects who received at least one dose of study treatment (aducanumab or placebo), had an evaluable baseline tau PET SUVR value and a post-baseline tau PET SUVR value. </w:t>
      </w:r>
    </w:p>
    <w:p w14:paraId="688A6FDA" w14:textId="77777777" w:rsidR="00085070" w:rsidRPr="00874ABA" w:rsidRDefault="00085070" w:rsidP="00071479">
      <w:pPr>
        <w:pStyle w:val="Bulletlevel4"/>
        <w:numPr>
          <w:ilvl w:val="0"/>
          <w:numId w:val="9"/>
        </w:numPr>
        <w:rPr>
          <w:rFonts w:eastAsiaTheme="minorHAnsi" w:cs="Arial"/>
          <w:sz w:val="24"/>
          <w:szCs w:val="24"/>
          <w:lang w:val="en-US"/>
        </w:rPr>
      </w:pPr>
      <w:r w:rsidRPr="00874ABA">
        <w:rPr>
          <w:rFonts w:eastAsiaTheme="minorHAnsi" w:cs="Arial"/>
          <w:sz w:val="24"/>
          <w:szCs w:val="24"/>
          <w:lang w:val="en-US"/>
        </w:rPr>
        <w:t>CSF analysis population:</w:t>
      </w:r>
    </w:p>
    <w:p w14:paraId="21F1FF00" w14:textId="77777777" w:rsidR="00085070" w:rsidRPr="00874ABA" w:rsidRDefault="00085070" w:rsidP="00085070">
      <w:pPr>
        <w:pStyle w:val="Bulletlevel4"/>
        <w:numPr>
          <w:ilvl w:val="0"/>
          <w:numId w:val="0"/>
        </w:numPr>
        <w:ind w:left="720"/>
        <w:rPr>
          <w:rFonts w:eastAsiaTheme="minorHAnsi" w:cs="Arial"/>
          <w:sz w:val="24"/>
          <w:szCs w:val="24"/>
          <w:lang w:val="en-US"/>
        </w:rPr>
      </w:pPr>
      <w:r w:rsidRPr="00874ABA">
        <w:rPr>
          <w:rFonts w:eastAsiaTheme="minorHAnsi" w:cs="Arial"/>
          <w:sz w:val="24"/>
          <w:szCs w:val="24"/>
          <w:lang w:val="en-US"/>
        </w:rPr>
        <w:t xml:space="preserve">The CSF modified analysis population for a specific biomarker is defined as all randomized subjects who received at least one dose of study treatment (aducanumab or placebo), had an evaluable baseline value as well as a post-baseline value at week 78 for that specific biomarker. </w:t>
      </w:r>
    </w:p>
    <w:p w14:paraId="5BD05FB1" w14:textId="77777777" w:rsidR="00085070" w:rsidRPr="00874ABA" w:rsidRDefault="00085070" w:rsidP="00071479">
      <w:pPr>
        <w:pStyle w:val="Bulletlevel4"/>
        <w:numPr>
          <w:ilvl w:val="0"/>
          <w:numId w:val="9"/>
        </w:numPr>
        <w:rPr>
          <w:rFonts w:eastAsiaTheme="minorHAnsi" w:cs="Arial"/>
          <w:sz w:val="24"/>
          <w:szCs w:val="24"/>
          <w:lang w:val="en-US"/>
        </w:rPr>
      </w:pPr>
      <w:r w:rsidRPr="00874ABA">
        <w:rPr>
          <w:rFonts w:eastAsiaTheme="minorHAnsi" w:cs="Arial"/>
          <w:sz w:val="24"/>
          <w:szCs w:val="24"/>
          <w:lang w:val="en-US"/>
        </w:rPr>
        <w:lastRenderedPageBreak/>
        <w:t xml:space="preserve">Safety population: </w:t>
      </w:r>
    </w:p>
    <w:p w14:paraId="63F3E815" w14:textId="77777777" w:rsidR="00085070" w:rsidRPr="00874ABA" w:rsidRDefault="00085070" w:rsidP="00085070">
      <w:pPr>
        <w:pStyle w:val="Bulletlevel4"/>
        <w:numPr>
          <w:ilvl w:val="0"/>
          <w:numId w:val="0"/>
        </w:numPr>
        <w:ind w:left="720"/>
        <w:rPr>
          <w:rFonts w:eastAsiaTheme="minorHAnsi" w:cs="Arial"/>
          <w:sz w:val="24"/>
          <w:szCs w:val="24"/>
          <w:lang w:val="en-US"/>
        </w:rPr>
      </w:pPr>
      <w:r w:rsidRPr="00874ABA">
        <w:rPr>
          <w:rFonts w:eastAsiaTheme="minorHAnsi" w:cs="Arial"/>
          <w:sz w:val="24"/>
          <w:szCs w:val="24"/>
          <w:lang w:val="en-US"/>
        </w:rPr>
        <w:t xml:space="preserve">The safety population is defined as all randomized subjects who received at least one dose of study treatment (aducanumab or placebo). It is the same population as the ITT population. </w:t>
      </w:r>
    </w:p>
    <w:p w14:paraId="1F1B6537" w14:textId="77777777" w:rsidR="00085070" w:rsidRPr="00874ABA" w:rsidRDefault="00085070" w:rsidP="00071479">
      <w:pPr>
        <w:pStyle w:val="Bulletlevel4"/>
        <w:numPr>
          <w:ilvl w:val="0"/>
          <w:numId w:val="9"/>
        </w:numPr>
        <w:rPr>
          <w:rFonts w:eastAsiaTheme="minorHAnsi" w:cs="Arial"/>
          <w:sz w:val="24"/>
          <w:szCs w:val="24"/>
          <w:lang w:val="en-US"/>
        </w:rPr>
      </w:pPr>
      <w:r w:rsidRPr="00874ABA">
        <w:rPr>
          <w:rFonts w:eastAsiaTheme="minorHAnsi" w:cs="Arial"/>
          <w:sz w:val="24"/>
          <w:szCs w:val="24"/>
          <w:lang w:val="en-US"/>
        </w:rPr>
        <w:t xml:space="preserve">Safety MRI population: </w:t>
      </w:r>
    </w:p>
    <w:p w14:paraId="7906C4EC" w14:textId="77777777" w:rsidR="00085070" w:rsidRPr="00874ABA" w:rsidRDefault="00085070" w:rsidP="00085070">
      <w:pPr>
        <w:pStyle w:val="Bulletlevel4"/>
        <w:numPr>
          <w:ilvl w:val="0"/>
          <w:numId w:val="0"/>
        </w:numPr>
        <w:ind w:left="720"/>
        <w:rPr>
          <w:rFonts w:eastAsiaTheme="minorHAnsi" w:cs="Arial"/>
          <w:sz w:val="24"/>
          <w:szCs w:val="24"/>
          <w:lang w:val="en-US"/>
        </w:rPr>
      </w:pPr>
      <w:r w:rsidRPr="00874ABA">
        <w:rPr>
          <w:rFonts w:eastAsiaTheme="minorHAnsi" w:cs="Arial"/>
          <w:sz w:val="24"/>
          <w:szCs w:val="24"/>
          <w:lang w:val="en-US"/>
        </w:rPr>
        <w:t xml:space="preserve">The safety MRI population is defined as all randomized subjects who received at least one dose of study treatment (aducanumab or placebo) and had at least one post-baseline MRI assessment. </w:t>
      </w:r>
    </w:p>
    <w:p w14:paraId="13BD78B0" w14:textId="77777777" w:rsidR="00085070" w:rsidRPr="00874ABA" w:rsidRDefault="00085070" w:rsidP="00085070">
      <w:pPr>
        <w:pStyle w:val="Bulletlevel4"/>
        <w:numPr>
          <w:ilvl w:val="0"/>
          <w:numId w:val="0"/>
        </w:numPr>
        <w:rPr>
          <w:rFonts w:eastAsiaTheme="minorHAnsi" w:cs="Arial"/>
          <w:sz w:val="24"/>
          <w:szCs w:val="24"/>
          <w:lang w:val="en-US"/>
        </w:rPr>
      </w:pPr>
    </w:p>
    <w:p w14:paraId="66CBC197" w14:textId="77777777" w:rsidR="00085070" w:rsidRPr="00874ABA" w:rsidRDefault="00085070" w:rsidP="00085070">
      <w:pPr>
        <w:pStyle w:val="Bulletlevel4"/>
        <w:numPr>
          <w:ilvl w:val="0"/>
          <w:numId w:val="0"/>
        </w:numPr>
        <w:rPr>
          <w:rFonts w:eastAsiaTheme="minorHAnsi" w:cs="Arial"/>
          <w:b/>
          <w:bCs/>
          <w:sz w:val="24"/>
          <w:szCs w:val="24"/>
          <w:lang w:val="en-US"/>
        </w:rPr>
      </w:pPr>
      <w:r w:rsidRPr="00874ABA">
        <w:rPr>
          <w:rFonts w:eastAsiaTheme="minorHAnsi" w:cs="Arial"/>
          <w:b/>
          <w:bCs/>
          <w:sz w:val="24"/>
          <w:szCs w:val="24"/>
          <w:lang w:val="en-US"/>
        </w:rPr>
        <w:t>Efficacy analysis</w:t>
      </w:r>
    </w:p>
    <w:p w14:paraId="31CEACE6" w14:textId="77777777" w:rsidR="00085070" w:rsidRPr="00874ABA" w:rsidRDefault="00085070" w:rsidP="00085070">
      <w:pPr>
        <w:pStyle w:val="Bulletlevel4"/>
        <w:numPr>
          <w:ilvl w:val="0"/>
          <w:numId w:val="0"/>
        </w:numPr>
        <w:rPr>
          <w:rFonts w:eastAsiaTheme="minorHAnsi" w:cs="Arial"/>
          <w:sz w:val="24"/>
          <w:szCs w:val="24"/>
          <w:lang w:val="en-US"/>
        </w:rPr>
      </w:pPr>
      <w:r w:rsidRPr="00874ABA">
        <w:rPr>
          <w:rFonts w:eastAsiaTheme="minorHAnsi" w:cs="Arial"/>
          <w:sz w:val="24"/>
          <w:szCs w:val="24"/>
          <w:lang w:val="en-US"/>
        </w:rPr>
        <w:t xml:space="preserve">For efficacy endpoints, the following treatment groups of aducanumab (per randomization) will be evaluated and compared with placebo: </w:t>
      </w:r>
    </w:p>
    <w:p w14:paraId="60CBD4BC" w14:textId="4517EADF" w:rsidR="00085070" w:rsidRPr="00874ABA" w:rsidRDefault="00085070" w:rsidP="00071479">
      <w:pPr>
        <w:pStyle w:val="Bulletlevel4"/>
        <w:numPr>
          <w:ilvl w:val="0"/>
          <w:numId w:val="9"/>
        </w:numPr>
        <w:rPr>
          <w:rFonts w:eastAsiaTheme="minorHAnsi" w:cs="Arial"/>
          <w:sz w:val="24"/>
          <w:szCs w:val="24"/>
          <w:lang w:val="en-US"/>
        </w:rPr>
      </w:pPr>
      <w:r w:rsidRPr="00874ABA">
        <w:rPr>
          <w:rFonts w:eastAsiaTheme="minorHAnsi" w:cs="Arial"/>
          <w:sz w:val="24"/>
          <w:szCs w:val="24"/>
          <w:lang w:val="en-US"/>
        </w:rPr>
        <w:t>Aducanumab high</w:t>
      </w:r>
      <w:r w:rsidR="00A91DFA">
        <w:rPr>
          <w:rFonts w:eastAsiaTheme="minorHAnsi" w:cs="Arial"/>
          <w:sz w:val="24"/>
          <w:szCs w:val="24"/>
          <w:lang w:val="en-US"/>
        </w:rPr>
        <w:t xml:space="preserve"> </w:t>
      </w:r>
      <w:r w:rsidRPr="00874ABA">
        <w:rPr>
          <w:rFonts w:eastAsiaTheme="minorHAnsi" w:cs="Arial"/>
          <w:sz w:val="24"/>
          <w:szCs w:val="24"/>
          <w:lang w:val="en-US"/>
        </w:rPr>
        <w:t xml:space="preserve">dose (10 mg/kg in ApoE ε4 carriers [including 6 mg/kg for subjects enrolled under protocol versions 1-3 who do not have the opportunity to </w:t>
      </w:r>
      <w:proofErr w:type="spellStart"/>
      <w:r w:rsidRPr="00874ABA">
        <w:rPr>
          <w:rFonts w:eastAsiaTheme="minorHAnsi" w:cs="Arial"/>
          <w:sz w:val="24"/>
          <w:szCs w:val="24"/>
          <w:lang w:val="en-US"/>
        </w:rPr>
        <w:t>uptitrate</w:t>
      </w:r>
      <w:proofErr w:type="spellEnd"/>
      <w:r w:rsidRPr="00874ABA">
        <w:rPr>
          <w:rFonts w:eastAsiaTheme="minorHAnsi" w:cs="Arial"/>
          <w:sz w:val="24"/>
          <w:szCs w:val="24"/>
          <w:lang w:val="en-US"/>
        </w:rPr>
        <w:t xml:space="preserve"> to 10 mg/kg prior to completing week 78 of the study] and 10 mg/kg in ApoE ε4 noncarriers). </w:t>
      </w:r>
    </w:p>
    <w:p w14:paraId="06AD20B1" w14:textId="57D07D07" w:rsidR="00085070" w:rsidRPr="00874ABA" w:rsidRDefault="00085070" w:rsidP="00071479">
      <w:pPr>
        <w:pStyle w:val="Bulletlevel4"/>
        <w:numPr>
          <w:ilvl w:val="0"/>
          <w:numId w:val="9"/>
        </w:numPr>
        <w:rPr>
          <w:rFonts w:eastAsiaTheme="minorHAnsi" w:cs="Arial"/>
          <w:sz w:val="24"/>
          <w:szCs w:val="24"/>
          <w:lang w:val="en-US"/>
        </w:rPr>
      </w:pPr>
      <w:r w:rsidRPr="00874ABA">
        <w:rPr>
          <w:rFonts w:eastAsiaTheme="minorHAnsi" w:cs="Arial"/>
          <w:sz w:val="24"/>
          <w:szCs w:val="24"/>
          <w:lang w:val="en-US"/>
        </w:rPr>
        <w:t>Aducanumab low</w:t>
      </w:r>
      <w:r w:rsidR="00A91DFA">
        <w:rPr>
          <w:rFonts w:eastAsiaTheme="minorHAnsi" w:cs="Arial"/>
          <w:sz w:val="24"/>
          <w:szCs w:val="24"/>
          <w:lang w:val="en-US"/>
        </w:rPr>
        <w:t xml:space="preserve"> </w:t>
      </w:r>
      <w:r w:rsidRPr="00874ABA">
        <w:rPr>
          <w:rFonts w:eastAsiaTheme="minorHAnsi" w:cs="Arial"/>
          <w:sz w:val="24"/>
          <w:szCs w:val="24"/>
          <w:lang w:val="en-US"/>
        </w:rPr>
        <w:t xml:space="preserve">dose (3 mg/kg in ApoE ε4 carriers and 6 mg/kg in ApoE ε4 noncarriers). </w:t>
      </w:r>
    </w:p>
    <w:p w14:paraId="3ACBEB76" w14:textId="2A247BB0" w:rsidR="00085070" w:rsidRPr="00874ABA" w:rsidRDefault="00085070" w:rsidP="00085070">
      <w:pPr>
        <w:pStyle w:val="Bulletlevel4"/>
        <w:numPr>
          <w:ilvl w:val="0"/>
          <w:numId w:val="0"/>
        </w:numPr>
        <w:rPr>
          <w:rFonts w:eastAsiaTheme="minorHAnsi" w:cs="Arial"/>
          <w:sz w:val="24"/>
          <w:szCs w:val="24"/>
          <w:lang w:val="en-US"/>
        </w:rPr>
      </w:pPr>
      <w:r w:rsidRPr="00874ABA">
        <w:rPr>
          <w:rFonts w:eastAsiaTheme="minorHAnsi" w:cs="Arial"/>
          <w:sz w:val="24"/>
          <w:szCs w:val="24"/>
          <w:lang w:val="en-US"/>
        </w:rPr>
        <w:t>All efficacy analyses will be performed on the ITT population. In addition, the primary and secondary endpoints will also be performed on the per-protocol population. The efficacy analysis will be presented by treatment group (per randomization), i.e., aducanumab high</w:t>
      </w:r>
      <w:r w:rsidR="00A91DFA">
        <w:rPr>
          <w:rFonts w:eastAsiaTheme="minorHAnsi" w:cs="Arial"/>
          <w:sz w:val="24"/>
          <w:szCs w:val="24"/>
          <w:lang w:val="en-US"/>
        </w:rPr>
        <w:t xml:space="preserve"> </w:t>
      </w:r>
      <w:r w:rsidRPr="00874ABA">
        <w:rPr>
          <w:rFonts w:eastAsiaTheme="minorHAnsi" w:cs="Arial"/>
          <w:sz w:val="24"/>
          <w:szCs w:val="24"/>
          <w:lang w:val="en-US"/>
        </w:rPr>
        <w:t>dose, aducanumab low</w:t>
      </w:r>
      <w:r w:rsidR="00A91DFA">
        <w:rPr>
          <w:rFonts w:eastAsiaTheme="minorHAnsi" w:cs="Arial"/>
          <w:sz w:val="24"/>
          <w:szCs w:val="24"/>
          <w:lang w:val="en-US"/>
        </w:rPr>
        <w:t xml:space="preserve"> </w:t>
      </w:r>
      <w:r w:rsidRPr="00874ABA">
        <w:rPr>
          <w:rFonts w:eastAsiaTheme="minorHAnsi" w:cs="Arial"/>
          <w:sz w:val="24"/>
          <w:szCs w:val="24"/>
          <w:lang w:val="en-US"/>
        </w:rPr>
        <w:t>dose and placebo.</w:t>
      </w:r>
    </w:p>
    <w:p w14:paraId="3C14DA72" w14:textId="77777777" w:rsidR="00085070" w:rsidRPr="00874ABA" w:rsidRDefault="00085070" w:rsidP="00085070">
      <w:pPr>
        <w:pStyle w:val="Bulletlevel4"/>
        <w:numPr>
          <w:ilvl w:val="0"/>
          <w:numId w:val="0"/>
        </w:numPr>
        <w:rPr>
          <w:rFonts w:eastAsiaTheme="minorHAnsi" w:cs="Arial"/>
          <w:sz w:val="24"/>
          <w:szCs w:val="24"/>
          <w:lang w:val="en-US"/>
        </w:rPr>
      </w:pPr>
    </w:p>
    <w:p w14:paraId="070D1352" w14:textId="77777777" w:rsidR="00085070" w:rsidRPr="00874ABA" w:rsidRDefault="00085070" w:rsidP="00085070">
      <w:pPr>
        <w:pStyle w:val="Bulletlevel4"/>
        <w:numPr>
          <w:ilvl w:val="0"/>
          <w:numId w:val="0"/>
        </w:numPr>
        <w:rPr>
          <w:rFonts w:eastAsiaTheme="minorHAnsi" w:cs="Arial"/>
          <w:sz w:val="24"/>
          <w:szCs w:val="24"/>
          <w:lang w:val="en-US"/>
        </w:rPr>
      </w:pPr>
      <w:r w:rsidRPr="00874ABA">
        <w:rPr>
          <w:rFonts w:eastAsiaTheme="minorHAnsi" w:cs="Arial"/>
          <w:sz w:val="24"/>
          <w:szCs w:val="24"/>
          <w:lang w:val="en-US"/>
        </w:rPr>
        <w:t>The primary, sensitivity and supplementary analyses for the primary and secondary endpoints are listed below: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3"/>
        <w:gridCol w:w="4230"/>
        <w:gridCol w:w="1530"/>
        <w:gridCol w:w="1980"/>
      </w:tblGrid>
      <w:tr w:rsidR="00085070" w:rsidRPr="00874ABA" w14:paraId="09D0DD96" w14:textId="77777777" w:rsidTr="007C31E2">
        <w:trPr>
          <w:trHeight w:val="204"/>
        </w:trPr>
        <w:tc>
          <w:tcPr>
            <w:tcW w:w="1273" w:type="dxa"/>
          </w:tcPr>
          <w:p w14:paraId="1BAAE458" w14:textId="77777777" w:rsidR="00085070" w:rsidRPr="00874ABA" w:rsidRDefault="00085070" w:rsidP="007C31E2">
            <w:pPr>
              <w:autoSpaceDE w:val="0"/>
              <w:autoSpaceDN w:val="0"/>
              <w:adjustRightInd w:val="0"/>
              <w:spacing w:line="240" w:lineRule="auto"/>
              <w:rPr>
                <w:rFonts w:eastAsiaTheme="minorHAnsi" w:cs="Arial"/>
                <w:color w:val="000000"/>
                <w:sz w:val="24"/>
                <w:szCs w:val="24"/>
                <w:lang w:val="en-US" w:eastAsia="en-US"/>
              </w:rPr>
            </w:pPr>
            <w:r w:rsidRPr="00874ABA">
              <w:rPr>
                <w:rFonts w:eastAsiaTheme="minorHAnsi" w:cs="Arial"/>
                <w:b/>
                <w:bCs/>
                <w:color w:val="000000"/>
                <w:sz w:val="24"/>
                <w:szCs w:val="24"/>
                <w:lang w:val="en-US" w:eastAsia="en-US"/>
              </w:rPr>
              <w:t xml:space="preserve">Endpoint </w:t>
            </w:r>
          </w:p>
        </w:tc>
        <w:tc>
          <w:tcPr>
            <w:tcW w:w="4230" w:type="dxa"/>
          </w:tcPr>
          <w:p w14:paraId="0606B640" w14:textId="77777777" w:rsidR="00085070" w:rsidRPr="00874ABA" w:rsidRDefault="00085070" w:rsidP="007C31E2">
            <w:pPr>
              <w:autoSpaceDE w:val="0"/>
              <w:autoSpaceDN w:val="0"/>
              <w:adjustRightInd w:val="0"/>
              <w:spacing w:line="240" w:lineRule="auto"/>
              <w:rPr>
                <w:rFonts w:eastAsiaTheme="minorHAnsi" w:cs="Arial"/>
                <w:color w:val="000000"/>
                <w:sz w:val="24"/>
                <w:szCs w:val="24"/>
                <w:lang w:val="en-US" w:eastAsia="en-US"/>
              </w:rPr>
            </w:pPr>
            <w:r w:rsidRPr="00874ABA">
              <w:rPr>
                <w:rFonts w:eastAsiaTheme="minorHAnsi" w:cs="Arial"/>
                <w:b/>
                <w:bCs/>
                <w:color w:val="000000"/>
                <w:sz w:val="24"/>
                <w:szCs w:val="24"/>
                <w:lang w:val="en-US" w:eastAsia="en-US"/>
              </w:rPr>
              <w:t xml:space="preserve">Analysis </w:t>
            </w:r>
          </w:p>
        </w:tc>
        <w:tc>
          <w:tcPr>
            <w:tcW w:w="1530" w:type="dxa"/>
          </w:tcPr>
          <w:p w14:paraId="4A8A6428" w14:textId="77777777" w:rsidR="00085070" w:rsidRPr="00874ABA" w:rsidRDefault="00085070" w:rsidP="007C31E2">
            <w:pPr>
              <w:autoSpaceDE w:val="0"/>
              <w:autoSpaceDN w:val="0"/>
              <w:adjustRightInd w:val="0"/>
              <w:spacing w:line="240" w:lineRule="auto"/>
              <w:rPr>
                <w:rFonts w:eastAsiaTheme="minorHAnsi" w:cs="Arial"/>
                <w:color w:val="000000"/>
                <w:sz w:val="24"/>
                <w:szCs w:val="24"/>
                <w:lang w:val="en-US" w:eastAsia="en-US"/>
              </w:rPr>
            </w:pPr>
            <w:r w:rsidRPr="00874ABA">
              <w:rPr>
                <w:rFonts w:eastAsiaTheme="minorHAnsi" w:cs="Arial"/>
                <w:b/>
                <w:bCs/>
                <w:color w:val="000000"/>
                <w:sz w:val="24"/>
                <w:szCs w:val="24"/>
                <w:lang w:val="en-US" w:eastAsia="en-US"/>
              </w:rPr>
              <w:t xml:space="preserve">Analysis population </w:t>
            </w:r>
          </w:p>
        </w:tc>
        <w:tc>
          <w:tcPr>
            <w:tcW w:w="1980" w:type="dxa"/>
          </w:tcPr>
          <w:p w14:paraId="3A312122" w14:textId="77777777" w:rsidR="00085070" w:rsidRPr="00874ABA" w:rsidRDefault="00085070" w:rsidP="007C31E2">
            <w:pPr>
              <w:autoSpaceDE w:val="0"/>
              <w:autoSpaceDN w:val="0"/>
              <w:adjustRightInd w:val="0"/>
              <w:spacing w:line="240" w:lineRule="auto"/>
              <w:rPr>
                <w:rFonts w:eastAsiaTheme="minorHAnsi" w:cs="Arial"/>
                <w:color w:val="000000"/>
                <w:sz w:val="20"/>
                <w:lang w:val="en-US" w:eastAsia="en-US"/>
              </w:rPr>
            </w:pPr>
            <w:r w:rsidRPr="00874ABA">
              <w:rPr>
                <w:rFonts w:eastAsiaTheme="minorHAnsi" w:cs="Arial"/>
                <w:b/>
                <w:bCs/>
                <w:color w:val="000000"/>
                <w:sz w:val="24"/>
                <w:szCs w:val="24"/>
                <w:lang w:val="en-US" w:eastAsia="en-US"/>
              </w:rPr>
              <w:t>Included in this manuscript</w:t>
            </w:r>
            <w:r w:rsidRPr="00874ABA">
              <w:rPr>
                <w:rFonts w:eastAsiaTheme="minorHAnsi" w:cs="Arial"/>
                <w:b/>
                <w:bCs/>
                <w:color w:val="000000"/>
                <w:sz w:val="20"/>
                <w:lang w:val="en-US" w:eastAsia="en-US"/>
              </w:rPr>
              <w:t xml:space="preserve"> </w:t>
            </w:r>
          </w:p>
        </w:tc>
      </w:tr>
      <w:tr w:rsidR="00085070" w:rsidRPr="00874ABA" w14:paraId="71E2D639" w14:textId="77777777" w:rsidTr="007C31E2">
        <w:trPr>
          <w:trHeight w:val="229"/>
        </w:trPr>
        <w:tc>
          <w:tcPr>
            <w:tcW w:w="1273" w:type="dxa"/>
            <w:vMerge w:val="restart"/>
          </w:tcPr>
          <w:p w14:paraId="2CD17ADE" w14:textId="77777777" w:rsidR="00085070" w:rsidRPr="00874ABA" w:rsidRDefault="00085070" w:rsidP="007C31E2">
            <w:pPr>
              <w:autoSpaceDE w:val="0"/>
              <w:autoSpaceDN w:val="0"/>
              <w:adjustRightInd w:val="0"/>
              <w:spacing w:line="240" w:lineRule="auto"/>
              <w:rPr>
                <w:rFonts w:eastAsiaTheme="minorHAnsi" w:cs="Arial"/>
                <w:color w:val="000000"/>
                <w:sz w:val="24"/>
                <w:szCs w:val="24"/>
                <w:lang w:val="en-US" w:eastAsia="en-US"/>
              </w:rPr>
            </w:pPr>
            <w:r w:rsidRPr="00874ABA">
              <w:rPr>
                <w:rFonts w:eastAsiaTheme="minorHAnsi" w:cs="Arial"/>
                <w:b/>
                <w:bCs/>
                <w:color w:val="000000"/>
                <w:sz w:val="24"/>
                <w:szCs w:val="24"/>
                <w:lang w:val="en-US" w:eastAsia="en-US"/>
              </w:rPr>
              <w:t xml:space="preserve">CDR-SB </w:t>
            </w:r>
          </w:p>
        </w:tc>
        <w:tc>
          <w:tcPr>
            <w:tcW w:w="4230" w:type="dxa"/>
          </w:tcPr>
          <w:p w14:paraId="7B63530A" w14:textId="77777777" w:rsidR="00085070" w:rsidRPr="00874ABA" w:rsidRDefault="00085070" w:rsidP="007C31E2">
            <w:pPr>
              <w:autoSpaceDE w:val="0"/>
              <w:autoSpaceDN w:val="0"/>
              <w:adjustRightInd w:val="0"/>
              <w:spacing w:line="240" w:lineRule="auto"/>
              <w:rPr>
                <w:rFonts w:eastAsiaTheme="minorHAnsi" w:cs="Arial"/>
                <w:color w:val="000000"/>
                <w:sz w:val="24"/>
                <w:szCs w:val="24"/>
                <w:lang w:val="en-US" w:eastAsia="en-US"/>
              </w:rPr>
            </w:pPr>
            <w:r w:rsidRPr="00874ABA">
              <w:rPr>
                <w:rFonts w:eastAsiaTheme="minorHAnsi" w:cs="Arial"/>
                <w:color w:val="000000"/>
                <w:sz w:val="24"/>
                <w:szCs w:val="24"/>
                <w:lang w:val="en-US" w:eastAsia="en-US"/>
              </w:rPr>
              <w:t xml:space="preserve">Primary: Analysis of change from baseline at week 78 (MMRM) </w:t>
            </w:r>
          </w:p>
        </w:tc>
        <w:tc>
          <w:tcPr>
            <w:tcW w:w="1530" w:type="dxa"/>
          </w:tcPr>
          <w:p w14:paraId="2C758FE9" w14:textId="77777777" w:rsidR="00085070" w:rsidRPr="00874ABA" w:rsidRDefault="00085070" w:rsidP="007C31E2">
            <w:pPr>
              <w:autoSpaceDE w:val="0"/>
              <w:autoSpaceDN w:val="0"/>
              <w:adjustRightInd w:val="0"/>
              <w:spacing w:line="240" w:lineRule="auto"/>
              <w:rPr>
                <w:rFonts w:eastAsiaTheme="minorHAnsi" w:cs="Arial"/>
                <w:color w:val="000000"/>
                <w:sz w:val="24"/>
                <w:szCs w:val="24"/>
                <w:lang w:val="en-US" w:eastAsia="en-US"/>
              </w:rPr>
            </w:pPr>
            <w:r w:rsidRPr="00874ABA">
              <w:rPr>
                <w:rFonts w:eastAsiaTheme="minorHAnsi" w:cs="Arial"/>
                <w:color w:val="000000"/>
                <w:sz w:val="24"/>
                <w:szCs w:val="24"/>
                <w:lang w:val="en-US" w:eastAsia="en-US"/>
              </w:rPr>
              <w:t xml:space="preserve">ITT </w:t>
            </w:r>
          </w:p>
        </w:tc>
        <w:tc>
          <w:tcPr>
            <w:tcW w:w="1980" w:type="dxa"/>
          </w:tcPr>
          <w:p w14:paraId="351E9910" w14:textId="77777777" w:rsidR="00085070" w:rsidRPr="00874ABA" w:rsidRDefault="00085070" w:rsidP="007C31E2">
            <w:pPr>
              <w:autoSpaceDE w:val="0"/>
              <w:autoSpaceDN w:val="0"/>
              <w:adjustRightInd w:val="0"/>
              <w:spacing w:line="240" w:lineRule="auto"/>
              <w:rPr>
                <w:rFonts w:eastAsiaTheme="minorHAnsi" w:cs="Arial"/>
                <w:color w:val="000000"/>
                <w:sz w:val="20"/>
                <w:lang w:val="en-US" w:eastAsia="en-US"/>
              </w:rPr>
            </w:pPr>
            <w:r w:rsidRPr="00874ABA">
              <w:rPr>
                <w:rFonts w:eastAsiaTheme="minorHAnsi" w:cs="Arial"/>
                <w:color w:val="000000"/>
                <w:sz w:val="24"/>
                <w:szCs w:val="24"/>
                <w:lang w:val="en-US" w:eastAsia="en-US"/>
              </w:rPr>
              <w:t xml:space="preserve">Yes </w:t>
            </w:r>
          </w:p>
        </w:tc>
      </w:tr>
      <w:tr w:rsidR="00085070" w:rsidRPr="00874ABA" w14:paraId="44B744D9" w14:textId="77777777" w:rsidTr="007C31E2">
        <w:trPr>
          <w:trHeight w:val="229"/>
        </w:trPr>
        <w:tc>
          <w:tcPr>
            <w:tcW w:w="1273" w:type="dxa"/>
            <w:vMerge/>
          </w:tcPr>
          <w:p w14:paraId="264139A0" w14:textId="77777777" w:rsidR="00085070" w:rsidRPr="00874ABA" w:rsidRDefault="00085070" w:rsidP="007C31E2">
            <w:pPr>
              <w:autoSpaceDE w:val="0"/>
              <w:autoSpaceDN w:val="0"/>
              <w:adjustRightInd w:val="0"/>
              <w:spacing w:line="240" w:lineRule="auto"/>
              <w:rPr>
                <w:rFonts w:eastAsiaTheme="minorHAnsi" w:cs="Arial"/>
                <w:b/>
                <w:bCs/>
                <w:color w:val="000000"/>
                <w:sz w:val="24"/>
                <w:szCs w:val="24"/>
                <w:lang w:val="en-US" w:eastAsia="en-US"/>
              </w:rPr>
            </w:pPr>
          </w:p>
        </w:tc>
        <w:tc>
          <w:tcPr>
            <w:tcW w:w="4230" w:type="dxa"/>
          </w:tcPr>
          <w:p w14:paraId="2F4C7EC6" w14:textId="77777777" w:rsidR="00085070" w:rsidRPr="00874ABA" w:rsidRDefault="00085070" w:rsidP="007C31E2">
            <w:pPr>
              <w:autoSpaceDE w:val="0"/>
              <w:autoSpaceDN w:val="0"/>
              <w:adjustRightInd w:val="0"/>
              <w:spacing w:line="240" w:lineRule="auto"/>
              <w:rPr>
                <w:rFonts w:eastAsiaTheme="minorHAnsi" w:cs="Arial"/>
                <w:color w:val="000000"/>
                <w:sz w:val="24"/>
                <w:szCs w:val="24"/>
                <w:lang w:val="en-US" w:eastAsia="en-US"/>
              </w:rPr>
            </w:pPr>
            <w:r w:rsidRPr="00874ABA">
              <w:rPr>
                <w:rFonts w:eastAsiaTheme="minorHAnsi" w:cs="Arial"/>
                <w:color w:val="000000"/>
                <w:sz w:val="24"/>
                <w:szCs w:val="24"/>
                <w:lang w:val="en-US" w:eastAsia="en-US"/>
              </w:rPr>
              <w:t>Sensitivity: Pattern mixture model (ANCOVA)</w:t>
            </w:r>
          </w:p>
        </w:tc>
        <w:tc>
          <w:tcPr>
            <w:tcW w:w="1530" w:type="dxa"/>
          </w:tcPr>
          <w:p w14:paraId="24A84EFE" w14:textId="77777777" w:rsidR="00085070" w:rsidRPr="00874ABA" w:rsidRDefault="00085070" w:rsidP="007C31E2">
            <w:pPr>
              <w:autoSpaceDE w:val="0"/>
              <w:autoSpaceDN w:val="0"/>
              <w:adjustRightInd w:val="0"/>
              <w:spacing w:line="240" w:lineRule="auto"/>
              <w:rPr>
                <w:rFonts w:eastAsiaTheme="minorHAnsi" w:cs="Arial"/>
                <w:color w:val="000000"/>
                <w:sz w:val="24"/>
                <w:szCs w:val="24"/>
                <w:lang w:val="en-US" w:eastAsia="en-US"/>
              </w:rPr>
            </w:pPr>
            <w:r w:rsidRPr="00874ABA">
              <w:rPr>
                <w:rFonts w:eastAsiaTheme="minorHAnsi" w:cs="Arial"/>
                <w:color w:val="000000"/>
                <w:sz w:val="24"/>
                <w:szCs w:val="24"/>
                <w:lang w:val="en-US" w:eastAsia="en-US"/>
              </w:rPr>
              <w:t>ITT</w:t>
            </w:r>
          </w:p>
        </w:tc>
        <w:tc>
          <w:tcPr>
            <w:tcW w:w="1980" w:type="dxa"/>
          </w:tcPr>
          <w:p w14:paraId="67EB30AD" w14:textId="7C2CD44B" w:rsidR="00085070" w:rsidRPr="00874ABA" w:rsidRDefault="00855CB3" w:rsidP="007C31E2">
            <w:pPr>
              <w:autoSpaceDE w:val="0"/>
              <w:autoSpaceDN w:val="0"/>
              <w:adjustRightInd w:val="0"/>
              <w:spacing w:line="240" w:lineRule="auto"/>
              <w:rPr>
                <w:rFonts w:eastAsiaTheme="minorHAnsi" w:cs="Arial"/>
                <w:color w:val="000000"/>
                <w:sz w:val="24"/>
                <w:szCs w:val="24"/>
                <w:lang w:val="en-US" w:eastAsia="en-US"/>
              </w:rPr>
            </w:pPr>
            <w:r>
              <w:rPr>
                <w:rFonts w:eastAsiaTheme="minorHAnsi" w:cs="Arial"/>
                <w:color w:val="000000"/>
                <w:sz w:val="24"/>
                <w:szCs w:val="24"/>
                <w:lang w:val="en-US" w:eastAsia="en-US"/>
              </w:rPr>
              <w:t>Supplemental Data Table 2</w:t>
            </w:r>
          </w:p>
        </w:tc>
      </w:tr>
      <w:tr w:rsidR="00085070" w:rsidRPr="00874ABA" w14:paraId="56423B42" w14:textId="77777777" w:rsidTr="007C31E2">
        <w:trPr>
          <w:trHeight w:val="229"/>
        </w:trPr>
        <w:tc>
          <w:tcPr>
            <w:tcW w:w="1273" w:type="dxa"/>
            <w:vMerge/>
          </w:tcPr>
          <w:p w14:paraId="45D9172B" w14:textId="77777777" w:rsidR="00085070" w:rsidRPr="00874ABA" w:rsidRDefault="00085070" w:rsidP="007C31E2">
            <w:pPr>
              <w:autoSpaceDE w:val="0"/>
              <w:autoSpaceDN w:val="0"/>
              <w:adjustRightInd w:val="0"/>
              <w:spacing w:line="240" w:lineRule="auto"/>
              <w:rPr>
                <w:rFonts w:eastAsiaTheme="minorHAnsi" w:cs="Arial"/>
                <w:b/>
                <w:bCs/>
                <w:color w:val="000000"/>
                <w:sz w:val="24"/>
                <w:szCs w:val="24"/>
                <w:lang w:val="en-US" w:eastAsia="en-US"/>
              </w:rPr>
            </w:pPr>
          </w:p>
        </w:tc>
        <w:tc>
          <w:tcPr>
            <w:tcW w:w="4230" w:type="dxa"/>
          </w:tcPr>
          <w:p w14:paraId="345A9A66" w14:textId="77777777" w:rsidR="00085070" w:rsidRPr="00874ABA" w:rsidRDefault="00085070" w:rsidP="007C31E2">
            <w:pPr>
              <w:pStyle w:val="Default"/>
              <w:rPr>
                <w:rFonts w:ascii="Arial" w:hAnsi="Arial" w:cs="Arial"/>
              </w:rPr>
            </w:pPr>
            <w:r w:rsidRPr="00874ABA">
              <w:rPr>
                <w:rFonts w:ascii="Arial" w:hAnsi="Arial" w:cs="Arial"/>
              </w:rPr>
              <w:t xml:space="preserve">Sensitivity: Copy increment from reference method (ANCOVA) </w:t>
            </w:r>
          </w:p>
        </w:tc>
        <w:tc>
          <w:tcPr>
            <w:tcW w:w="1530" w:type="dxa"/>
          </w:tcPr>
          <w:p w14:paraId="12E2035D" w14:textId="77777777" w:rsidR="00085070" w:rsidRPr="00874ABA" w:rsidRDefault="00085070" w:rsidP="007C31E2">
            <w:pPr>
              <w:autoSpaceDE w:val="0"/>
              <w:autoSpaceDN w:val="0"/>
              <w:adjustRightInd w:val="0"/>
              <w:spacing w:line="240" w:lineRule="auto"/>
              <w:rPr>
                <w:rFonts w:eastAsiaTheme="minorHAnsi" w:cs="Arial"/>
                <w:color w:val="000000"/>
                <w:sz w:val="24"/>
                <w:szCs w:val="24"/>
                <w:lang w:val="en-US" w:eastAsia="en-US"/>
              </w:rPr>
            </w:pPr>
            <w:r w:rsidRPr="00874ABA">
              <w:rPr>
                <w:rFonts w:eastAsiaTheme="minorHAnsi" w:cs="Arial"/>
                <w:color w:val="000000"/>
                <w:sz w:val="24"/>
                <w:szCs w:val="24"/>
                <w:lang w:val="en-US" w:eastAsia="en-US"/>
              </w:rPr>
              <w:t>ITT</w:t>
            </w:r>
          </w:p>
        </w:tc>
        <w:tc>
          <w:tcPr>
            <w:tcW w:w="1980" w:type="dxa"/>
          </w:tcPr>
          <w:p w14:paraId="03A7C521" w14:textId="76D7C5BE" w:rsidR="00085070" w:rsidRPr="00874ABA" w:rsidRDefault="00874ABA" w:rsidP="007C31E2">
            <w:pPr>
              <w:autoSpaceDE w:val="0"/>
              <w:autoSpaceDN w:val="0"/>
              <w:adjustRightInd w:val="0"/>
              <w:spacing w:line="240" w:lineRule="auto"/>
              <w:rPr>
                <w:rFonts w:eastAsiaTheme="minorHAnsi" w:cs="Arial"/>
                <w:color w:val="000000"/>
                <w:sz w:val="20"/>
                <w:lang w:val="en-US" w:eastAsia="en-US"/>
              </w:rPr>
            </w:pPr>
            <w:r w:rsidRPr="00874ABA">
              <w:rPr>
                <w:rFonts w:eastAsiaTheme="minorHAnsi" w:cs="Arial"/>
                <w:color w:val="000000"/>
                <w:sz w:val="24"/>
                <w:szCs w:val="24"/>
                <w:lang w:val="en-US" w:eastAsia="en-US"/>
              </w:rPr>
              <w:t>Supplemental</w:t>
            </w:r>
            <w:r w:rsidR="00D45455" w:rsidRPr="00874ABA">
              <w:rPr>
                <w:rFonts w:eastAsiaTheme="minorHAnsi" w:cs="Arial"/>
                <w:color w:val="000000"/>
                <w:sz w:val="24"/>
                <w:szCs w:val="24"/>
                <w:lang w:val="en-US" w:eastAsia="en-US"/>
              </w:rPr>
              <w:t xml:space="preserve"> Data Table 2</w:t>
            </w:r>
          </w:p>
        </w:tc>
      </w:tr>
      <w:tr w:rsidR="00085070" w:rsidRPr="00874ABA" w14:paraId="2E1A7F30" w14:textId="77777777" w:rsidTr="007C31E2">
        <w:trPr>
          <w:trHeight w:val="229"/>
        </w:trPr>
        <w:tc>
          <w:tcPr>
            <w:tcW w:w="1273" w:type="dxa"/>
            <w:vMerge/>
          </w:tcPr>
          <w:p w14:paraId="45E83CA0" w14:textId="77777777" w:rsidR="00085070" w:rsidRPr="00874ABA" w:rsidRDefault="00085070" w:rsidP="007C31E2">
            <w:pPr>
              <w:autoSpaceDE w:val="0"/>
              <w:autoSpaceDN w:val="0"/>
              <w:adjustRightInd w:val="0"/>
              <w:spacing w:line="240" w:lineRule="auto"/>
              <w:rPr>
                <w:rFonts w:eastAsiaTheme="minorHAnsi" w:cs="Arial"/>
                <w:b/>
                <w:bCs/>
                <w:color w:val="000000"/>
                <w:sz w:val="24"/>
                <w:szCs w:val="24"/>
                <w:lang w:val="en-US" w:eastAsia="en-US"/>
              </w:rPr>
            </w:pPr>
          </w:p>
        </w:tc>
        <w:tc>
          <w:tcPr>
            <w:tcW w:w="4230" w:type="dxa"/>
          </w:tcPr>
          <w:p w14:paraId="796AA44F" w14:textId="77777777" w:rsidR="00085070" w:rsidRPr="00874ABA" w:rsidRDefault="00085070" w:rsidP="007C31E2">
            <w:pPr>
              <w:autoSpaceDE w:val="0"/>
              <w:autoSpaceDN w:val="0"/>
              <w:adjustRightInd w:val="0"/>
              <w:spacing w:line="240" w:lineRule="auto"/>
              <w:rPr>
                <w:rFonts w:eastAsiaTheme="minorHAnsi" w:cs="Arial"/>
                <w:color w:val="000000"/>
                <w:sz w:val="24"/>
                <w:szCs w:val="24"/>
                <w:lang w:val="en-US" w:eastAsia="en-US"/>
              </w:rPr>
            </w:pPr>
            <w:r w:rsidRPr="00874ABA">
              <w:rPr>
                <w:rFonts w:eastAsiaTheme="minorHAnsi" w:cs="Arial"/>
                <w:color w:val="000000"/>
                <w:sz w:val="24"/>
                <w:szCs w:val="24"/>
                <w:lang w:val="en-US" w:eastAsia="en-US"/>
              </w:rPr>
              <w:t>Sensitivity: Imputation by natural disease progression (ANCOVA)</w:t>
            </w:r>
          </w:p>
        </w:tc>
        <w:tc>
          <w:tcPr>
            <w:tcW w:w="1530" w:type="dxa"/>
          </w:tcPr>
          <w:p w14:paraId="0B2E50E8" w14:textId="77777777" w:rsidR="00085070" w:rsidRPr="00874ABA" w:rsidRDefault="00085070" w:rsidP="007C31E2">
            <w:pPr>
              <w:autoSpaceDE w:val="0"/>
              <w:autoSpaceDN w:val="0"/>
              <w:adjustRightInd w:val="0"/>
              <w:spacing w:line="240" w:lineRule="auto"/>
              <w:rPr>
                <w:rFonts w:eastAsiaTheme="minorHAnsi" w:cs="Arial"/>
                <w:color w:val="000000"/>
                <w:sz w:val="24"/>
                <w:szCs w:val="24"/>
                <w:lang w:val="en-US" w:eastAsia="en-US"/>
              </w:rPr>
            </w:pPr>
            <w:r w:rsidRPr="00874ABA">
              <w:rPr>
                <w:rFonts w:eastAsiaTheme="minorHAnsi" w:cs="Arial"/>
                <w:color w:val="000000"/>
                <w:sz w:val="24"/>
                <w:szCs w:val="24"/>
                <w:lang w:val="en-US" w:eastAsia="en-US"/>
              </w:rPr>
              <w:t>ITT</w:t>
            </w:r>
          </w:p>
        </w:tc>
        <w:tc>
          <w:tcPr>
            <w:tcW w:w="1980" w:type="dxa"/>
          </w:tcPr>
          <w:p w14:paraId="0AE27E78" w14:textId="77777777" w:rsidR="00085070" w:rsidRPr="00874ABA" w:rsidRDefault="00085070" w:rsidP="007C31E2">
            <w:pPr>
              <w:autoSpaceDE w:val="0"/>
              <w:autoSpaceDN w:val="0"/>
              <w:adjustRightInd w:val="0"/>
              <w:spacing w:line="240" w:lineRule="auto"/>
              <w:rPr>
                <w:rFonts w:eastAsiaTheme="minorHAnsi" w:cs="Arial"/>
                <w:color w:val="000000"/>
                <w:sz w:val="20"/>
                <w:lang w:val="en-US" w:eastAsia="en-US"/>
              </w:rPr>
            </w:pPr>
            <w:r w:rsidRPr="00874ABA">
              <w:rPr>
                <w:rFonts w:eastAsiaTheme="minorHAnsi" w:cs="Arial"/>
                <w:color w:val="000000"/>
                <w:sz w:val="24"/>
                <w:szCs w:val="24"/>
                <w:lang w:val="en-US" w:eastAsia="en-US"/>
              </w:rPr>
              <w:t>No</w:t>
            </w:r>
          </w:p>
        </w:tc>
      </w:tr>
      <w:tr w:rsidR="00085070" w:rsidRPr="00874ABA" w14:paraId="4BFCD730" w14:textId="77777777" w:rsidTr="007C31E2">
        <w:trPr>
          <w:trHeight w:val="229"/>
        </w:trPr>
        <w:tc>
          <w:tcPr>
            <w:tcW w:w="1273" w:type="dxa"/>
            <w:vMerge/>
          </w:tcPr>
          <w:p w14:paraId="498E13C0" w14:textId="77777777" w:rsidR="00085070" w:rsidRPr="00874ABA" w:rsidRDefault="00085070" w:rsidP="007C31E2">
            <w:pPr>
              <w:autoSpaceDE w:val="0"/>
              <w:autoSpaceDN w:val="0"/>
              <w:adjustRightInd w:val="0"/>
              <w:spacing w:line="240" w:lineRule="auto"/>
              <w:rPr>
                <w:rFonts w:eastAsiaTheme="minorHAnsi" w:cs="Arial"/>
                <w:b/>
                <w:bCs/>
                <w:color w:val="000000"/>
                <w:sz w:val="24"/>
                <w:szCs w:val="24"/>
                <w:lang w:val="en-US" w:eastAsia="en-US"/>
              </w:rPr>
            </w:pPr>
          </w:p>
        </w:tc>
        <w:tc>
          <w:tcPr>
            <w:tcW w:w="4230" w:type="dxa"/>
          </w:tcPr>
          <w:p w14:paraId="6A98993E" w14:textId="77777777" w:rsidR="00085070" w:rsidRPr="00874ABA" w:rsidRDefault="00085070" w:rsidP="007C31E2">
            <w:pPr>
              <w:pStyle w:val="Default"/>
              <w:rPr>
                <w:rFonts w:ascii="Arial" w:hAnsi="Arial" w:cs="Arial"/>
              </w:rPr>
            </w:pPr>
            <w:r w:rsidRPr="00874ABA">
              <w:rPr>
                <w:rFonts w:ascii="Arial" w:hAnsi="Arial" w:cs="Arial"/>
              </w:rPr>
              <w:t xml:space="preserve">Sensitivity: Tipping point analysis (ANCOVA) </w:t>
            </w:r>
          </w:p>
        </w:tc>
        <w:tc>
          <w:tcPr>
            <w:tcW w:w="1530" w:type="dxa"/>
          </w:tcPr>
          <w:p w14:paraId="7B3BE052" w14:textId="77777777" w:rsidR="00085070" w:rsidRPr="00874ABA" w:rsidRDefault="00085070" w:rsidP="007C31E2">
            <w:pPr>
              <w:autoSpaceDE w:val="0"/>
              <w:autoSpaceDN w:val="0"/>
              <w:adjustRightInd w:val="0"/>
              <w:spacing w:line="240" w:lineRule="auto"/>
              <w:rPr>
                <w:rFonts w:eastAsiaTheme="minorHAnsi" w:cs="Arial"/>
                <w:color w:val="000000"/>
                <w:sz w:val="24"/>
                <w:szCs w:val="24"/>
                <w:lang w:val="en-US" w:eastAsia="en-US"/>
              </w:rPr>
            </w:pPr>
            <w:r w:rsidRPr="00874ABA">
              <w:rPr>
                <w:rFonts w:cs="Arial"/>
                <w:sz w:val="24"/>
                <w:szCs w:val="24"/>
              </w:rPr>
              <w:t xml:space="preserve">ITT </w:t>
            </w:r>
          </w:p>
        </w:tc>
        <w:tc>
          <w:tcPr>
            <w:tcW w:w="1980" w:type="dxa"/>
          </w:tcPr>
          <w:p w14:paraId="4319B335" w14:textId="77777777" w:rsidR="00085070" w:rsidRPr="00874ABA" w:rsidRDefault="00085070" w:rsidP="007C31E2">
            <w:pPr>
              <w:autoSpaceDE w:val="0"/>
              <w:autoSpaceDN w:val="0"/>
              <w:adjustRightInd w:val="0"/>
              <w:spacing w:line="240" w:lineRule="auto"/>
              <w:rPr>
                <w:rFonts w:eastAsiaTheme="minorHAnsi" w:cs="Arial"/>
                <w:color w:val="000000"/>
                <w:sz w:val="20"/>
                <w:lang w:val="en-US" w:eastAsia="en-US"/>
              </w:rPr>
            </w:pPr>
            <w:r w:rsidRPr="00874ABA">
              <w:rPr>
                <w:rFonts w:eastAsiaTheme="minorHAnsi" w:cs="Arial"/>
                <w:color w:val="000000"/>
                <w:sz w:val="24"/>
                <w:szCs w:val="24"/>
                <w:lang w:val="en-US" w:eastAsia="en-US"/>
              </w:rPr>
              <w:t>No</w:t>
            </w:r>
          </w:p>
        </w:tc>
      </w:tr>
      <w:tr w:rsidR="00085070" w:rsidRPr="00874ABA" w14:paraId="002DDADE" w14:textId="77777777" w:rsidTr="007C31E2">
        <w:trPr>
          <w:trHeight w:val="229"/>
        </w:trPr>
        <w:tc>
          <w:tcPr>
            <w:tcW w:w="1273" w:type="dxa"/>
            <w:vMerge/>
          </w:tcPr>
          <w:p w14:paraId="3DD82B99" w14:textId="77777777" w:rsidR="00085070" w:rsidRPr="00874ABA" w:rsidRDefault="00085070" w:rsidP="007C31E2">
            <w:pPr>
              <w:autoSpaceDE w:val="0"/>
              <w:autoSpaceDN w:val="0"/>
              <w:adjustRightInd w:val="0"/>
              <w:spacing w:line="240" w:lineRule="auto"/>
              <w:rPr>
                <w:rFonts w:eastAsiaTheme="minorHAnsi" w:cs="Arial"/>
                <w:b/>
                <w:bCs/>
                <w:color w:val="000000"/>
                <w:sz w:val="24"/>
                <w:szCs w:val="24"/>
                <w:lang w:val="en-US" w:eastAsia="en-US"/>
              </w:rPr>
            </w:pPr>
          </w:p>
        </w:tc>
        <w:tc>
          <w:tcPr>
            <w:tcW w:w="4230" w:type="dxa"/>
          </w:tcPr>
          <w:p w14:paraId="290D5A49" w14:textId="77777777" w:rsidR="00085070" w:rsidRPr="00874ABA" w:rsidRDefault="00085070" w:rsidP="007C31E2">
            <w:pPr>
              <w:pStyle w:val="Default"/>
              <w:rPr>
                <w:rFonts w:ascii="Arial" w:hAnsi="Arial" w:cs="Arial"/>
              </w:rPr>
            </w:pPr>
            <w:r w:rsidRPr="00874ABA">
              <w:rPr>
                <w:rFonts w:ascii="Arial" w:hAnsi="Arial" w:cs="Arial"/>
              </w:rPr>
              <w:t xml:space="preserve">Supplementary: Censoring after intercurrent events (MMRM)* </w:t>
            </w:r>
          </w:p>
        </w:tc>
        <w:tc>
          <w:tcPr>
            <w:tcW w:w="1530" w:type="dxa"/>
          </w:tcPr>
          <w:p w14:paraId="004D63DC" w14:textId="77777777" w:rsidR="00085070" w:rsidRPr="00874ABA" w:rsidRDefault="00085070" w:rsidP="007C31E2">
            <w:pPr>
              <w:autoSpaceDE w:val="0"/>
              <w:autoSpaceDN w:val="0"/>
              <w:adjustRightInd w:val="0"/>
              <w:spacing w:line="240" w:lineRule="auto"/>
              <w:rPr>
                <w:rFonts w:eastAsiaTheme="minorHAnsi" w:cs="Arial"/>
                <w:color w:val="000000"/>
                <w:sz w:val="24"/>
                <w:szCs w:val="24"/>
                <w:lang w:val="en-US" w:eastAsia="en-US"/>
              </w:rPr>
            </w:pPr>
            <w:r w:rsidRPr="00874ABA">
              <w:rPr>
                <w:rFonts w:cs="Arial"/>
                <w:sz w:val="24"/>
                <w:szCs w:val="24"/>
              </w:rPr>
              <w:t xml:space="preserve">ITT </w:t>
            </w:r>
          </w:p>
        </w:tc>
        <w:tc>
          <w:tcPr>
            <w:tcW w:w="1980" w:type="dxa"/>
          </w:tcPr>
          <w:p w14:paraId="33FCB162" w14:textId="528F44AD" w:rsidR="00085070" w:rsidRPr="00874ABA" w:rsidRDefault="00874ABA" w:rsidP="007C31E2">
            <w:pPr>
              <w:autoSpaceDE w:val="0"/>
              <w:autoSpaceDN w:val="0"/>
              <w:adjustRightInd w:val="0"/>
              <w:spacing w:line="240" w:lineRule="auto"/>
              <w:rPr>
                <w:rFonts w:eastAsiaTheme="minorHAnsi" w:cs="Arial"/>
                <w:color w:val="000000"/>
                <w:sz w:val="20"/>
                <w:lang w:val="en-US" w:eastAsia="en-US"/>
              </w:rPr>
            </w:pPr>
            <w:r w:rsidRPr="00874ABA">
              <w:rPr>
                <w:rFonts w:eastAsiaTheme="minorHAnsi" w:cs="Arial"/>
                <w:color w:val="000000"/>
                <w:sz w:val="24"/>
                <w:szCs w:val="24"/>
                <w:lang w:val="en-US" w:eastAsia="en-US"/>
              </w:rPr>
              <w:t xml:space="preserve">Supplemental </w:t>
            </w:r>
            <w:r w:rsidR="00990733" w:rsidRPr="00874ABA">
              <w:rPr>
                <w:rFonts w:eastAsiaTheme="minorHAnsi" w:cs="Arial"/>
                <w:color w:val="000000"/>
                <w:sz w:val="24"/>
                <w:szCs w:val="24"/>
                <w:lang w:val="en-US" w:eastAsia="en-US"/>
              </w:rPr>
              <w:t>Data Table 2</w:t>
            </w:r>
          </w:p>
        </w:tc>
      </w:tr>
      <w:tr w:rsidR="00085070" w:rsidRPr="00874ABA" w14:paraId="0019B4D4" w14:textId="77777777" w:rsidTr="007C31E2">
        <w:trPr>
          <w:trHeight w:val="229"/>
        </w:trPr>
        <w:tc>
          <w:tcPr>
            <w:tcW w:w="1273" w:type="dxa"/>
            <w:vMerge/>
          </w:tcPr>
          <w:p w14:paraId="7A32257A" w14:textId="77777777" w:rsidR="00085070" w:rsidRPr="00874ABA" w:rsidRDefault="00085070" w:rsidP="007C31E2">
            <w:pPr>
              <w:autoSpaceDE w:val="0"/>
              <w:autoSpaceDN w:val="0"/>
              <w:adjustRightInd w:val="0"/>
              <w:spacing w:line="240" w:lineRule="auto"/>
              <w:rPr>
                <w:rFonts w:eastAsiaTheme="minorHAnsi" w:cs="Arial"/>
                <w:b/>
                <w:bCs/>
                <w:color w:val="000000"/>
                <w:sz w:val="24"/>
                <w:szCs w:val="24"/>
                <w:lang w:val="en-US" w:eastAsia="en-US"/>
              </w:rPr>
            </w:pPr>
          </w:p>
        </w:tc>
        <w:tc>
          <w:tcPr>
            <w:tcW w:w="4230" w:type="dxa"/>
          </w:tcPr>
          <w:p w14:paraId="70D4A750" w14:textId="77777777" w:rsidR="00085070" w:rsidRPr="00874ABA" w:rsidRDefault="00085070" w:rsidP="007C31E2">
            <w:pPr>
              <w:pStyle w:val="Default"/>
              <w:rPr>
                <w:rFonts w:ascii="Arial" w:hAnsi="Arial" w:cs="Arial"/>
              </w:rPr>
            </w:pPr>
            <w:r w:rsidRPr="00874ABA">
              <w:rPr>
                <w:rFonts w:ascii="Arial" w:hAnsi="Arial" w:cs="Arial"/>
              </w:rPr>
              <w:t xml:space="preserve">Supplementary: Per-protocol analysis (MMRM) </w:t>
            </w:r>
          </w:p>
        </w:tc>
        <w:tc>
          <w:tcPr>
            <w:tcW w:w="1530" w:type="dxa"/>
          </w:tcPr>
          <w:p w14:paraId="2923A92A" w14:textId="77777777" w:rsidR="00085070" w:rsidRPr="00874ABA" w:rsidRDefault="00085070" w:rsidP="007C31E2">
            <w:pPr>
              <w:pStyle w:val="Default"/>
              <w:rPr>
                <w:rFonts w:ascii="Arial" w:hAnsi="Arial" w:cs="Arial"/>
              </w:rPr>
            </w:pPr>
            <w:r w:rsidRPr="00874ABA">
              <w:rPr>
                <w:rFonts w:ascii="Arial" w:hAnsi="Arial" w:cs="Arial"/>
              </w:rPr>
              <w:t xml:space="preserve">Per-protocol </w:t>
            </w:r>
          </w:p>
        </w:tc>
        <w:tc>
          <w:tcPr>
            <w:tcW w:w="1980" w:type="dxa"/>
          </w:tcPr>
          <w:p w14:paraId="581D88E6" w14:textId="77777777" w:rsidR="00085070" w:rsidRPr="00874ABA" w:rsidRDefault="00085070" w:rsidP="007C31E2">
            <w:pPr>
              <w:autoSpaceDE w:val="0"/>
              <w:autoSpaceDN w:val="0"/>
              <w:adjustRightInd w:val="0"/>
              <w:spacing w:line="240" w:lineRule="auto"/>
              <w:rPr>
                <w:rFonts w:eastAsiaTheme="minorHAnsi" w:cs="Arial"/>
                <w:color w:val="000000"/>
                <w:sz w:val="20"/>
                <w:lang w:val="en-US" w:eastAsia="en-US"/>
              </w:rPr>
            </w:pPr>
            <w:r w:rsidRPr="00874ABA">
              <w:rPr>
                <w:rFonts w:eastAsiaTheme="minorHAnsi" w:cs="Arial"/>
                <w:color w:val="000000"/>
                <w:sz w:val="24"/>
                <w:szCs w:val="24"/>
                <w:lang w:val="en-US" w:eastAsia="en-US"/>
              </w:rPr>
              <w:t>No</w:t>
            </w:r>
          </w:p>
        </w:tc>
      </w:tr>
      <w:tr w:rsidR="00085070" w:rsidRPr="00874ABA" w14:paraId="0339CDF9" w14:textId="77777777" w:rsidTr="007C31E2">
        <w:trPr>
          <w:trHeight w:val="229"/>
        </w:trPr>
        <w:tc>
          <w:tcPr>
            <w:tcW w:w="1273" w:type="dxa"/>
            <w:vMerge/>
          </w:tcPr>
          <w:p w14:paraId="753AD140" w14:textId="77777777" w:rsidR="00085070" w:rsidRPr="00874ABA" w:rsidRDefault="00085070" w:rsidP="007C31E2">
            <w:pPr>
              <w:autoSpaceDE w:val="0"/>
              <w:autoSpaceDN w:val="0"/>
              <w:adjustRightInd w:val="0"/>
              <w:spacing w:line="240" w:lineRule="auto"/>
              <w:rPr>
                <w:rFonts w:eastAsiaTheme="minorHAnsi" w:cs="Arial"/>
                <w:b/>
                <w:bCs/>
                <w:color w:val="000000"/>
                <w:sz w:val="24"/>
                <w:szCs w:val="24"/>
                <w:lang w:val="en-US" w:eastAsia="en-US"/>
              </w:rPr>
            </w:pPr>
          </w:p>
        </w:tc>
        <w:tc>
          <w:tcPr>
            <w:tcW w:w="4230" w:type="dxa"/>
          </w:tcPr>
          <w:p w14:paraId="6C7A72D8" w14:textId="77777777" w:rsidR="00085070" w:rsidRPr="00874ABA" w:rsidRDefault="00085070" w:rsidP="007C31E2">
            <w:pPr>
              <w:pStyle w:val="Default"/>
              <w:rPr>
                <w:rFonts w:ascii="Arial" w:hAnsi="Arial" w:cs="Arial"/>
              </w:rPr>
            </w:pPr>
            <w:r w:rsidRPr="00874ABA">
              <w:rPr>
                <w:rFonts w:ascii="Arial" w:hAnsi="Arial" w:cs="Arial"/>
              </w:rPr>
              <w:t>Supplementary: Responder analysis (Logistic regression)</w:t>
            </w:r>
          </w:p>
        </w:tc>
        <w:tc>
          <w:tcPr>
            <w:tcW w:w="1530" w:type="dxa"/>
          </w:tcPr>
          <w:p w14:paraId="3094B3FE" w14:textId="77777777" w:rsidR="00085070" w:rsidRPr="00874ABA" w:rsidRDefault="00085070" w:rsidP="007C31E2">
            <w:pPr>
              <w:autoSpaceDE w:val="0"/>
              <w:autoSpaceDN w:val="0"/>
              <w:adjustRightInd w:val="0"/>
              <w:spacing w:line="240" w:lineRule="auto"/>
              <w:rPr>
                <w:rFonts w:eastAsiaTheme="minorHAnsi" w:cs="Arial"/>
                <w:color w:val="000000"/>
                <w:sz w:val="24"/>
                <w:szCs w:val="24"/>
                <w:lang w:val="en-US" w:eastAsia="en-US"/>
              </w:rPr>
            </w:pPr>
            <w:r w:rsidRPr="00874ABA">
              <w:rPr>
                <w:rFonts w:cs="Arial"/>
                <w:sz w:val="24"/>
                <w:szCs w:val="24"/>
              </w:rPr>
              <w:t xml:space="preserve">ITT </w:t>
            </w:r>
          </w:p>
        </w:tc>
        <w:tc>
          <w:tcPr>
            <w:tcW w:w="1980" w:type="dxa"/>
          </w:tcPr>
          <w:p w14:paraId="53C9E3ED" w14:textId="77777777" w:rsidR="00085070" w:rsidRPr="00874ABA" w:rsidRDefault="00085070" w:rsidP="007C31E2">
            <w:pPr>
              <w:autoSpaceDE w:val="0"/>
              <w:autoSpaceDN w:val="0"/>
              <w:adjustRightInd w:val="0"/>
              <w:spacing w:line="240" w:lineRule="auto"/>
              <w:rPr>
                <w:rFonts w:eastAsiaTheme="minorHAnsi" w:cs="Arial"/>
                <w:color w:val="000000"/>
                <w:sz w:val="20"/>
                <w:lang w:val="en-US" w:eastAsia="en-US"/>
              </w:rPr>
            </w:pPr>
            <w:r w:rsidRPr="00874ABA">
              <w:rPr>
                <w:rFonts w:eastAsiaTheme="minorHAnsi" w:cs="Arial"/>
                <w:color w:val="000000"/>
                <w:sz w:val="24"/>
                <w:szCs w:val="24"/>
                <w:lang w:val="en-US" w:eastAsia="en-US"/>
              </w:rPr>
              <w:t>No</w:t>
            </w:r>
          </w:p>
        </w:tc>
      </w:tr>
      <w:tr w:rsidR="00085070" w:rsidRPr="00874ABA" w14:paraId="6EB10553" w14:textId="77777777" w:rsidTr="007C31E2">
        <w:trPr>
          <w:trHeight w:val="229"/>
        </w:trPr>
        <w:tc>
          <w:tcPr>
            <w:tcW w:w="1273" w:type="dxa"/>
            <w:vMerge/>
          </w:tcPr>
          <w:p w14:paraId="5B9F78E3" w14:textId="77777777" w:rsidR="00085070" w:rsidRPr="00874ABA" w:rsidRDefault="00085070" w:rsidP="007C31E2">
            <w:pPr>
              <w:autoSpaceDE w:val="0"/>
              <w:autoSpaceDN w:val="0"/>
              <w:adjustRightInd w:val="0"/>
              <w:spacing w:line="240" w:lineRule="auto"/>
              <w:rPr>
                <w:rFonts w:eastAsiaTheme="minorHAnsi" w:cs="Arial"/>
                <w:b/>
                <w:bCs/>
                <w:color w:val="000000"/>
                <w:sz w:val="24"/>
                <w:szCs w:val="24"/>
                <w:lang w:val="en-US" w:eastAsia="en-US"/>
              </w:rPr>
            </w:pPr>
          </w:p>
        </w:tc>
        <w:tc>
          <w:tcPr>
            <w:tcW w:w="4230" w:type="dxa"/>
          </w:tcPr>
          <w:p w14:paraId="0FED757C" w14:textId="77777777" w:rsidR="00085070" w:rsidRPr="00874ABA" w:rsidRDefault="00085070" w:rsidP="007C31E2">
            <w:pPr>
              <w:pStyle w:val="Default"/>
              <w:rPr>
                <w:rFonts w:ascii="Arial" w:hAnsi="Arial" w:cs="Arial"/>
              </w:rPr>
            </w:pPr>
            <w:r w:rsidRPr="00874ABA">
              <w:rPr>
                <w:rFonts w:ascii="Arial" w:hAnsi="Arial" w:cs="Arial"/>
              </w:rPr>
              <w:t xml:space="preserve">Supplementary: Slope analysis (MMRM) </w:t>
            </w:r>
          </w:p>
        </w:tc>
        <w:tc>
          <w:tcPr>
            <w:tcW w:w="1530" w:type="dxa"/>
          </w:tcPr>
          <w:p w14:paraId="23C0D86F" w14:textId="77777777" w:rsidR="00085070" w:rsidRPr="00874ABA" w:rsidRDefault="00085070" w:rsidP="007C31E2">
            <w:pPr>
              <w:autoSpaceDE w:val="0"/>
              <w:autoSpaceDN w:val="0"/>
              <w:adjustRightInd w:val="0"/>
              <w:spacing w:line="240" w:lineRule="auto"/>
              <w:rPr>
                <w:rFonts w:eastAsiaTheme="minorHAnsi" w:cs="Arial"/>
                <w:color w:val="000000"/>
                <w:sz w:val="24"/>
                <w:szCs w:val="24"/>
                <w:lang w:val="en-US" w:eastAsia="en-US"/>
              </w:rPr>
            </w:pPr>
            <w:r w:rsidRPr="00874ABA">
              <w:rPr>
                <w:rFonts w:cs="Arial"/>
                <w:sz w:val="24"/>
                <w:szCs w:val="24"/>
              </w:rPr>
              <w:t xml:space="preserve">ITT </w:t>
            </w:r>
          </w:p>
        </w:tc>
        <w:tc>
          <w:tcPr>
            <w:tcW w:w="1980" w:type="dxa"/>
          </w:tcPr>
          <w:p w14:paraId="383BF19E" w14:textId="77777777" w:rsidR="00085070" w:rsidRPr="00874ABA" w:rsidRDefault="00085070" w:rsidP="007C31E2">
            <w:pPr>
              <w:autoSpaceDE w:val="0"/>
              <w:autoSpaceDN w:val="0"/>
              <w:adjustRightInd w:val="0"/>
              <w:spacing w:line="240" w:lineRule="auto"/>
              <w:rPr>
                <w:rFonts w:eastAsiaTheme="minorHAnsi" w:cs="Arial"/>
                <w:color w:val="000000"/>
                <w:sz w:val="20"/>
                <w:lang w:val="en-US" w:eastAsia="en-US"/>
              </w:rPr>
            </w:pPr>
            <w:r w:rsidRPr="00874ABA">
              <w:rPr>
                <w:rFonts w:eastAsiaTheme="minorHAnsi" w:cs="Arial"/>
                <w:color w:val="000000"/>
                <w:sz w:val="24"/>
                <w:szCs w:val="24"/>
                <w:lang w:val="en-US" w:eastAsia="en-US"/>
              </w:rPr>
              <w:t>No</w:t>
            </w:r>
          </w:p>
        </w:tc>
      </w:tr>
      <w:tr w:rsidR="00085070" w:rsidRPr="00874ABA" w14:paraId="54C00AD5" w14:textId="77777777" w:rsidTr="007C31E2">
        <w:trPr>
          <w:trHeight w:val="229"/>
        </w:trPr>
        <w:tc>
          <w:tcPr>
            <w:tcW w:w="1273" w:type="dxa"/>
            <w:vMerge/>
          </w:tcPr>
          <w:p w14:paraId="18263392" w14:textId="77777777" w:rsidR="00085070" w:rsidRPr="00874ABA" w:rsidRDefault="00085070" w:rsidP="007C31E2">
            <w:pPr>
              <w:autoSpaceDE w:val="0"/>
              <w:autoSpaceDN w:val="0"/>
              <w:adjustRightInd w:val="0"/>
              <w:spacing w:line="240" w:lineRule="auto"/>
              <w:rPr>
                <w:rFonts w:eastAsiaTheme="minorHAnsi" w:cs="Arial"/>
                <w:b/>
                <w:bCs/>
                <w:color w:val="000000"/>
                <w:sz w:val="24"/>
                <w:szCs w:val="24"/>
                <w:lang w:val="en-US" w:eastAsia="en-US"/>
              </w:rPr>
            </w:pPr>
          </w:p>
        </w:tc>
        <w:tc>
          <w:tcPr>
            <w:tcW w:w="4230" w:type="dxa"/>
          </w:tcPr>
          <w:p w14:paraId="0C95299B" w14:textId="77777777" w:rsidR="00085070" w:rsidRPr="00874ABA" w:rsidRDefault="00085070" w:rsidP="007C31E2">
            <w:pPr>
              <w:pStyle w:val="Default"/>
              <w:rPr>
                <w:rFonts w:ascii="Arial" w:hAnsi="Arial" w:cs="Arial"/>
              </w:rPr>
            </w:pPr>
            <w:r w:rsidRPr="00874ABA">
              <w:rPr>
                <w:rFonts w:ascii="Arial" w:hAnsi="Arial" w:cs="Arial"/>
              </w:rPr>
              <w:t xml:space="preserve">Supplementary: Divergence effect analysis (MMRM) </w:t>
            </w:r>
          </w:p>
        </w:tc>
        <w:tc>
          <w:tcPr>
            <w:tcW w:w="1530" w:type="dxa"/>
          </w:tcPr>
          <w:p w14:paraId="5169D050" w14:textId="77777777" w:rsidR="00085070" w:rsidRPr="00874ABA" w:rsidRDefault="00085070" w:rsidP="007C31E2">
            <w:pPr>
              <w:pStyle w:val="Default"/>
              <w:rPr>
                <w:rFonts w:ascii="Arial" w:hAnsi="Arial" w:cs="Arial"/>
              </w:rPr>
            </w:pPr>
            <w:r w:rsidRPr="00874ABA">
              <w:rPr>
                <w:rFonts w:ascii="Arial" w:hAnsi="Arial" w:cs="Arial"/>
              </w:rPr>
              <w:t xml:space="preserve">ITT </w:t>
            </w:r>
          </w:p>
          <w:p w14:paraId="63695EF5" w14:textId="77777777" w:rsidR="00085070" w:rsidRPr="00874ABA" w:rsidRDefault="00085070" w:rsidP="007C31E2">
            <w:pPr>
              <w:autoSpaceDE w:val="0"/>
              <w:autoSpaceDN w:val="0"/>
              <w:adjustRightInd w:val="0"/>
              <w:spacing w:line="240" w:lineRule="auto"/>
              <w:rPr>
                <w:rFonts w:eastAsiaTheme="minorHAnsi" w:cs="Arial"/>
                <w:color w:val="000000"/>
                <w:sz w:val="24"/>
                <w:szCs w:val="24"/>
                <w:lang w:val="en-US" w:eastAsia="en-US"/>
              </w:rPr>
            </w:pPr>
          </w:p>
        </w:tc>
        <w:tc>
          <w:tcPr>
            <w:tcW w:w="1980" w:type="dxa"/>
          </w:tcPr>
          <w:p w14:paraId="5C6CCB4C" w14:textId="77777777" w:rsidR="00085070" w:rsidRPr="00874ABA" w:rsidRDefault="00085070" w:rsidP="007C31E2">
            <w:pPr>
              <w:autoSpaceDE w:val="0"/>
              <w:autoSpaceDN w:val="0"/>
              <w:adjustRightInd w:val="0"/>
              <w:spacing w:line="240" w:lineRule="auto"/>
              <w:rPr>
                <w:rFonts w:eastAsiaTheme="minorHAnsi" w:cs="Arial"/>
                <w:color w:val="000000"/>
                <w:sz w:val="20"/>
                <w:lang w:val="en-US" w:eastAsia="en-US"/>
              </w:rPr>
            </w:pPr>
            <w:r w:rsidRPr="00874ABA">
              <w:rPr>
                <w:rFonts w:eastAsiaTheme="minorHAnsi" w:cs="Arial"/>
                <w:color w:val="000000"/>
                <w:sz w:val="24"/>
                <w:szCs w:val="24"/>
                <w:lang w:val="en-US" w:eastAsia="en-US"/>
              </w:rPr>
              <w:t>No</w:t>
            </w:r>
          </w:p>
        </w:tc>
      </w:tr>
      <w:tr w:rsidR="00085070" w:rsidRPr="00874ABA" w14:paraId="0B021D02" w14:textId="77777777" w:rsidTr="007C31E2">
        <w:trPr>
          <w:trHeight w:val="229"/>
        </w:trPr>
        <w:tc>
          <w:tcPr>
            <w:tcW w:w="1273" w:type="dxa"/>
            <w:vMerge w:val="restart"/>
          </w:tcPr>
          <w:p w14:paraId="666C809E" w14:textId="2715C7FD" w:rsidR="00085070" w:rsidRPr="00874ABA" w:rsidRDefault="00085070" w:rsidP="007C31E2">
            <w:pPr>
              <w:pStyle w:val="Default"/>
              <w:rPr>
                <w:rFonts w:ascii="Arial" w:hAnsi="Arial" w:cs="Arial"/>
              </w:rPr>
            </w:pPr>
            <w:r w:rsidRPr="00874ABA">
              <w:rPr>
                <w:rFonts w:ascii="Arial" w:hAnsi="Arial" w:cs="Arial"/>
                <w:b/>
                <w:bCs/>
              </w:rPr>
              <w:t xml:space="preserve">MMSE, ADAS-Cog13, ADCS-ADL-MCI </w:t>
            </w:r>
          </w:p>
          <w:p w14:paraId="6B8F152C" w14:textId="77777777" w:rsidR="00085070" w:rsidRPr="00874ABA" w:rsidRDefault="00085070" w:rsidP="007C31E2">
            <w:pPr>
              <w:pStyle w:val="Default"/>
              <w:rPr>
                <w:rFonts w:ascii="Arial" w:hAnsi="Arial" w:cs="Arial"/>
              </w:rPr>
            </w:pPr>
          </w:p>
        </w:tc>
        <w:tc>
          <w:tcPr>
            <w:tcW w:w="4230" w:type="dxa"/>
          </w:tcPr>
          <w:p w14:paraId="6B2C28C6" w14:textId="77777777" w:rsidR="00085070" w:rsidRPr="00874ABA" w:rsidRDefault="00085070" w:rsidP="007C31E2">
            <w:pPr>
              <w:pStyle w:val="Default"/>
              <w:rPr>
                <w:rFonts w:ascii="Arial" w:hAnsi="Arial" w:cs="Arial"/>
              </w:rPr>
            </w:pPr>
            <w:r w:rsidRPr="00874ABA">
              <w:rPr>
                <w:rFonts w:ascii="Arial" w:hAnsi="Arial" w:cs="Arial"/>
              </w:rPr>
              <w:t xml:space="preserve">Primary: Analysis of change from baseline at week 78 (MMRM) </w:t>
            </w:r>
          </w:p>
        </w:tc>
        <w:tc>
          <w:tcPr>
            <w:tcW w:w="1530" w:type="dxa"/>
          </w:tcPr>
          <w:p w14:paraId="1825346F" w14:textId="77777777" w:rsidR="00085070" w:rsidRPr="00874ABA" w:rsidRDefault="00085070" w:rsidP="007C31E2">
            <w:pPr>
              <w:autoSpaceDE w:val="0"/>
              <w:autoSpaceDN w:val="0"/>
              <w:adjustRightInd w:val="0"/>
              <w:spacing w:line="240" w:lineRule="auto"/>
              <w:rPr>
                <w:rFonts w:eastAsiaTheme="minorHAnsi" w:cs="Arial"/>
                <w:color w:val="000000"/>
                <w:sz w:val="24"/>
                <w:szCs w:val="24"/>
                <w:lang w:val="en-US" w:eastAsia="en-US"/>
              </w:rPr>
            </w:pPr>
            <w:r w:rsidRPr="00874ABA">
              <w:rPr>
                <w:rFonts w:cs="Arial"/>
                <w:sz w:val="24"/>
                <w:szCs w:val="24"/>
              </w:rPr>
              <w:t xml:space="preserve">ITT </w:t>
            </w:r>
          </w:p>
        </w:tc>
        <w:tc>
          <w:tcPr>
            <w:tcW w:w="1980" w:type="dxa"/>
          </w:tcPr>
          <w:p w14:paraId="66594D94" w14:textId="77777777" w:rsidR="00085070" w:rsidRPr="00874ABA" w:rsidRDefault="00085070" w:rsidP="007C31E2">
            <w:pPr>
              <w:autoSpaceDE w:val="0"/>
              <w:autoSpaceDN w:val="0"/>
              <w:adjustRightInd w:val="0"/>
              <w:spacing w:line="240" w:lineRule="auto"/>
              <w:rPr>
                <w:rFonts w:eastAsiaTheme="minorHAnsi" w:cs="Arial"/>
                <w:color w:val="000000"/>
                <w:sz w:val="20"/>
                <w:lang w:val="en-US" w:eastAsia="en-US"/>
              </w:rPr>
            </w:pPr>
            <w:r w:rsidRPr="00874ABA">
              <w:rPr>
                <w:rFonts w:eastAsiaTheme="minorHAnsi" w:cs="Arial"/>
                <w:color w:val="000000"/>
                <w:sz w:val="24"/>
                <w:szCs w:val="24"/>
                <w:lang w:val="en-US" w:eastAsia="en-US"/>
              </w:rPr>
              <w:t>Yes</w:t>
            </w:r>
          </w:p>
        </w:tc>
      </w:tr>
      <w:tr w:rsidR="00085070" w:rsidRPr="00874ABA" w14:paraId="7A67660A" w14:textId="77777777" w:rsidTr="007C31E2">
        <w:trPr>
          <w:trHeight w:val="229"/>
        </w:trPr>
        <w:tc>
          <w:tcPr>
            <w:tcW w:w="1273" w:type="dxa"/>
            <w:vMerge/>
          </w:tcPr>
          <w:p w14:paraId="6B1F7AF7" w14:textId="77777777" w:rsidR="00085070" w:rsidRPr="00874ABA" w:rsidRDefault="00085070" w:rsidP="007C31E2">
            <w:pPr>
              <w:autoSpaceDE w:val="0"/>
              <w:autoSpaceDN w:val="0"/>
              <w:adjustRightInd w:val="0"/>
              <w:spacing w:line="240" w:lineRule="auto"/>
              <w:rPr>
                <w:rFonts w:eastAsiaTheme="minorHAnsi" w:cs="Arial"/>
                <w:b/>
                <w:bCs/>
                <w:color w:val="000000"/>
                <w:sz w:val="24"/>
                <w:szCs w:val="24"/>
                <w:lang w:val="en-US" w:eastAsia="en-US"/>
              </w:rPr>
            </w:pPr>
          </w:p>
        </w:tc>
        <w:tc>
          <w:tcPr>
            <w:tcW w:w="4230" w:type="dxa"/>
          </w:tcPr>
          <w:p w14:paraId="31BD3A23" w14:textId="77777777" w:rsidR="00085070" w:rsidRPr="00874ABA" w:rsidRDefault="00085070" w:rsidP="007C31E2">
            <w:pPr>
              <w:pStyle w:val="Default"/>
              <w:rPr>
                <w:rFonts w:ascii="Arial" w:hAnsi="Arial" w:cs="Arial"/>
              </w:rPr>
            </w:pPr>
            <w:r w:rsidRPr="00874ABA">
              <w:rPr>
                <w:rFonts w:ascii="Arial" w:hAnsi="Arial" w:cs="Arial"/>
              </w:rPr>
              <w:t xml:space="preserve">Sensitivity: Pattern mixture model (ANCOVA) </w:t>
            </w:r>
          </w:p>
        </w:tc>
        <w:tc>
          <w:tcPr>
            <w:tcW w:w="1530" w:type="dxa"/>
          </w:tcPr>
          <w:p w14:paraId="436C137A" w14:textId="77777777" w:rsidR="00085070" w:rsidRPr="00874ABA" w:rsidRDefault="00085070" w:rsidP="007C31E2">
            <w:pPr>
              <w:autoSpaceDE w:val="0"/>
              <w:autoSpaceDN w:val="0"/>
              <w:adjustRightInd w:val="0"/>
              <w:spacing w:line="240" w:lineRule="auto"/>
              <w:rPr>
                <w:rFonts w:eastAsiaTheme="minorHAnsi" w:cs="Arial"/>
                <w:color w:val="000000"/>
                <w:sz w:val="24"/>
                <w:szCs w:val="24"/>
                <w:lang w:val="en-US" w:eastAsia="en-US"/>
              </w:rPr>
            </w:pPr>
            <w:r w:rsidRPr="00874ABA">
              <w:rPr>
                <w:rFonts w:cs="Arial"/>
                <w:sz w:val="24"/>
                <w:szCs w:val="24"/>
              </w:rPr>
              <w:t xml:space="preserve">ITT </w:t>
            </w:r>
          </w:p>
        </w:tc>
        <w:tc>
          <w:tcPr>
            <w:tcW w:w="1980" w:type="dxa"/>
          </w:tcPr>
          <w:p w14:paraId="24340318" w14:textId="77777777" w:rsidR="00085070" w:rsidRPr="00874ABA" w:rsidRDefault="00085070" w:rsidP="007C31E2">
            <w:pPr>
              <w:autoSpaceDE w:val="0"/>
              <w:autoSpaceDN w:val="0"/>
              <w:adjustRightInd w:val="0"/>
              <w:spacing w:line="240" w:lineRule="auto"/>
              <w:rPr>
                <w:rFonts w:eastAsiaTheme="minorHAnsi" w:cs="Arial"/>
                <w:color w:val="000000"/>
                <w:sz w:val="20"/>
                <w:lang w:val="en-US" w:eastAsia="en-US"/>
              </w:rPr>
            </w:pPr>
            <w:r w:rsidRPr="00874ABA">
              <w:rPr>
                <w:rFonts w:eastAsiaTheme="minorHAnsi" w:cs="Arial"/>
                <w:color w:val="000000"/>
                <w:sz w:val="24"/>
                <w:szCs w:val="24"/>
                <w:lang w:val="en-US" w:eastAsia="en-US"/>
              </w:rPr>
              <w:t>No</w:t>
            </w:r>
          </w:p>
        </w:tc>
      </w:tr>
      <w:tr w:rsidR="00085070" w:rsidRPr="00874ABA" w14:paraId="675BDAA1" w14:textId="77777777" w:rsidTr="007C31E2">
        <w:trPr>
          <w:trHeight w:val="229"/>
        </w:trPr>
        <w:tc>
          <w:tcPr>
            <w:tcW w:w="1273" w:type="dxa"/>
            <w:vMerge/>
          </w:tcPr>
          <w:p w14:paraId="6BC281EB" w14:textId="77777777" w:rsidR="00085070" w:rsidRPr="00874ABA" w:rsidRDefault="00085070" w:rsidP="007C31E2">
            <w:pPr>
              <w:autoSpaceDE w:val="0"/>
              <w:autoSpaceDN w:val="0"/>
              <w:adjustRightInd w:val="0"/>
              <w:spacing w:line="240" w:lineRule="auto"/>
              <w:rPr>
                <w:rFonts w:eastAsiaTheme="minorHAnsi" w:cs="Arial"/>
                <w:b/>
                <w:bCs/>
                <w:color w:val="000000"/>
                <w:sz w:val="24"/>
                <w:szCs w:val="24"/>
                <w:lang w:val="en-US" w:eastAsia="en-US"/>
              </w:rPr>
            </w:pPr>
          </w:p>
        </w:tc>
        <w:tc>
          <w:tcPr>
            <w:tcW w:w="4230" w:type="dxa"/>
          </w:tcPr>
          <w:p w14:paraId="1FFF10FB" w14:textId="77777777" w:rsidR="00085070" w:rsidRPr="00874ABA" w:rsidRDefault="00085070" w:rsidP="007C31E2">
            <w:pPr>
              <w:pStyle w:val="Default"/>
              <w:rPr>
                <w:rFonts w:ascii="Arial" w:hAnsi="Arial" w:cs="Arial"/>
              </w:rPr>
            </w:pPr>
            <w:r w:rsidRPr="00874ABA">
              <w:rPr>
                <w:rFonts w:ascii="Arial" w:hAnsi="Arial" w:cs="Arial"/>
              </w:rPr>
              <w:t xml:space="preserve">Supplementary: Censoring after intercurrent events (MMRM)* </w:t>
            </w:r>
          </w:p>
        </w:tc>
        <w:tc>
          <w:tcPr>
            <w:tcW w:w="1530" w:type="dxa"/>
          </w:tcPr>
          <w:p w14:paraId="173B235C" w14:textId="77777777" w:rsidR="00085070" w:rsidRPr="00874ABA" w:rsidRDefault="00085070" w:rsidP="007C31E2">
            <w:pPr>
              <w:autoSpaceDE w:val="0"/>
              <w:autoSpaceDN w:val="0"/>
              <w:adjustRightInd w:val="0"/>
              <w:spacing w:line="240" w:lineRule="auto"/>
              <w:rPr>
                <w:rFonts w:eastAsiaTheme="minorHAnsi" w:cs="Arial"/>
                <w:color w:val="000000"/>
                <w:sz w:val="24"/>
                <w:szCs w:val="24"/>
                <w:lang w:val="en-US" w:eastAsia="en-US"/>
              </w:rPr>
            </w:pPr>
            <w:r w:rsidRPr="00874ABA">
              <w:rPr>
                <w:rFonts w:cs="Arial"/>
                <w:sz w:val="24"/>
                <w:szCs w:val="24"/>
              </w:rPr>
              <w:t xml:space="preserve">ITT </w:t>
            </w:r>
          </w:p>
        </w:tc>
        <w:tc>
          <w:tcPr>
            <w:tcW w:w="1980" w:type="dxa"/>
          </w:tcPr>
          <w:p w14:paraId="52C84069" w14:textId="77777777" w:rsidR="00085070" w:rsidRPr="00874ABA" w:rsidRDefault="00085070" w:rsidP="007C31E2">
            <w:pPr>
              <w:autoSpaceDE w:val="0"/>
              <w:autoSpaceDN w:val="0"/>
              <w:adjustRightInd w:val="0"/>
              <w:spacing w:line="240" w:lineRule="auto"/>
              <w:rPr>
                <w:rFonts w:eastAsiaTheme="minorHAnsi" w:cs="Arial"/>
                <w:color w:val="000000"/>
                <w:sz w:val="20"/>
                <w:lang w:val="en-US" w:eastAsia="en-US"/>
              </w:rPr>
            </w:pPr>
            <w:r w:rsidRPr="00874ABA">
              <w:rPr>
                <w:rFonts w:eastAsiaTheme="minorHAnsi" w:cs="Arial"/>
                <w:color w:val="000000"/>
                <w:sz w:val="24"/>
                <w:szCs w:val="24"/>
                <w:lang w:val="en-US" w:eastAsia="en-US"/>
              </w:rPr>
              <w:t>No</w:t>
            </w:r>
          </w:p>
        </w:tc>
      </w:tr>
      <w:tr w:rsidR="00085070" w:rsidRPr="00874ABA" w14:paraId="7492537F" w14:textId="77777777" w:rsidTr="007C31E2">
        <w:trPr>
          <w:trHeight w:val="229"/>
        </w:trPr>
        <w:tc>
          <w:tcPr>
            <w:tcW w:w="1273" w:type="dxa"/>
            <w:vMerge/>
          </w:tcPr>
          <w:p w14:paraId="49DF2E33" w14:textId="77777777" w:rsidR="00085070" w:rsidRPr="00874ABA" w:rsidRDefault="00085070" w:rsidP="007C31E2">
            <w:pPr>
              <w:autoSpaceDE w:val="0"/>
              <w:autoSpaceDN w:val="0"/>
              <w:adjustRightInd w:val="0"/>
              <w:spacing w:line="240" w:lineRule="auto"/>
              <w:rPr>
                <w:rFonts w:eastAsiaTheme="minorHAnsi" w:cs="Arial"/>
                <w:b/>
                <w:bCs/>
                <w:color w:val="000000"/>
                <w:sz w:val="24"/>
                <w:szCs w:val="24"/>
                <w:lang w:val="en-US" w:eastAsia="en-US"/>
              </w:rPr>
            </w:pPr>
          </w:p>
        </w:tc>
        <w:tc>
          <w:tcPr>
            <w:tcW w:w="4230" w:type="dxa"/>
          </w:tcPr>
          <w:p w14:paraId="11FC40F5" w14:textId="77777777" w:rsidR="00085070" w:rsidRPr="00874ABA" w:rsidRDefault="00085070" w:rsidP="007C31E2">
            <w:pPr>
              <w:pStyle w:val="Default"/>
              <w:rPr>
                <w:rFonts w:ascii="Arial" w:hAnsi="Arial" w:cs="Arial"/>
              </w:rPr>
            </w:pPr>
            <w:r w:rsidRPr="00874ABA">
              <w:rPr>
                <w:rFonts w:ascii="Arial" w:hAnsi="Arial" w:cs="Arial"/>
              </w:rPr>
              <w:t xml:space="preserve">Supplementary: Per-protocol analysis (MMRM) </w:t>
            </w:r>
          </w:p>
        </w:tc>
        <w:tc>
          <w:tcPr>
            <w:tcW w:w="1530" w:type="dxa"/>
          </w:tcPr>
          <w:p w14:paraId="1554B619" w14:textId="77777777" w:rsidR="00085070" w:rsidRPr="00874ABA" w:rsidRDefault="00085070" w:rsidP="007C31E2">
            <w:pPr>
              <w:autoSpaceDE w:val="0"/>
              <w:autoSpaceDN w:val="0"/>
              <w:adjustRightInd w:val="0"/>
              <w:spacing w:line="240" w:lineRule="auto"/>
              <w:rPr>
                <w:rFonts w:eastAsiaTheme="minorHAnsi" w:cs="Arial"/>
                <w:color w:val="000000"/>
                <w:sz w:val="24"/>
                <w:szCs w:val="24"/>
                <w:lang w:val="en-US" w:eastAsia="en-US"/>
              </w:rPr>
            </w:pPr>
            <w:r w:rsidRPr="00874ABA">
              <w:rPr>
                <w:rFonts w:eastAsiaTheme="minorHAnsi" w:cs="Arial"/>
                <w:color w:val="000000"/>
                <w:sz w:val="24"/>
                <w:szCs w:val="24"/>
                <w:lang w:val="en-US" w:eastAsia="en-US"/>
              </w:rPr>
              <w:t>Per-protocol</w:t>
            </w:r>
          </w:p>
        </w:tc>
        <w:tc>
          <w:tcPr>
            <w:tcW w:w="1980" w:type="dxa"/>
          </w:tcPr>
          <w:p w14:paraId="6DDA8E4F" w14:textId="77777777" w:rsidR="00085070" w:rsidRPr="00874ABA" w:rsidRDefault="00085070" w:rsidP="007C31E2">
            <w:pPr>
              <w:autoSpaceDE w:val="0"/>
              <w:autoSpaceDN w:val="0"/>
              <w:adjustRightInd w:val="0"/>
              <w:spacing w:line="240" w:lineRule="auto"/>
              <w:rPr>
                <w:rFonts w:eastAsiaTheme="minorHAnsi" w:cs="Arial"/>
                <w:color w:val="000000"/>
                <w:sz w:val="20"/>
                <w:lang w:val="en-US" w:eastAsia="en-US"/>
              </w:rPr>
            </w:pPr>
            <w:r w:rsidRPr="00874ABA">
              <w:rPr>
                <w:rFonts w:eastAsiaTheme="minorHAnsi" w:cs="Arial"/>
                <w:color w:val="000000"/>
                <w:sz w:val="24"/>
                <w:szCs w:val="24"/>
                <w:lang w:val="en-US" w:eastAsia="en-US"/>
              </w:rPr>
              <w:t>No</w:t>
            </w:r>
          </w:p>
        </w:tc>
      </w:tr>
      <w:tr w:rsidR="00085070" w:rsidRPr="00874ABA" w14:paraId="20C821C8" w14:textId="77777777" w:rsidTr="007C31E2">
        <w:trPr>
          <w:trHeight w:val="229"/>
        </w:trPr>
        <w:tc>
          <w:tcPr>
            <w:tcW w:w="1273" w:type="dxa"/>
            <w:vMerge/>
          </w:tcPr>
          <w:p w14:paraId="2C9A376F" w14:textId="77777777" w:rsidR="00085070" w:rsidRPr="00874ABA" w:rsidRDefault="00085070" w:rsidP="007C31E2">
            <w:pPr>
              <w:autoSpaceDE w:val="0"/>
              <w:autoSpaceDN w:val="0"/>
              <w:adjustRightInd w:val="0"/>
              <w:spacing w:line="240" w:lineRule="auto"/>
              <w:rPr>
                <w:rFonts w:eastAsiaTheme="minorHAnsi" w:cs="Arial"/>
                <w:b/>
                <w:bCs/>
                <w:color w:val="000000"/>
                <w:sz w:val="24"/>
                <w:szCs w:val="24"/>
                <w:lang w:val="en-US" w:eastAsia="en-US"/>
              </w:rPr>
            </w:pPr>
          </w:p>
        </w:tc>
        <w:tc>
          <w:tcPr>
            <w:tcW w:w="4230" w:type="dxa"/>
          </w:tcPr>
          <w:p w14:paraId="334D6063" w14:textId="77777777" w:rsidR="00085070" w:rsidRPr="00874ABA" w:rsidRDefault="00085070" w:rsidP="007C31E2">
            <w:pPr>
              <w:pStyle w:val="Default"/>
              <w:rPr>
                <w:rFonts w:ascii="Arial" w:hAnsi="Arial" w:cs="Arial"/>
              </w:rPr>
            </w:pPr>
            <w:r w:rsidRPr="00874ABA">
              <w:rPr>
                <w:rFonts w:ascii="Arial" w:hAnsi="Arial" w:cs="Arial"/>
              </w:rPr>
              <w:t xml:space="preserve">Supplementary: Slope analysis (MMRM) </w:t>
            </w:r>
          </w:p>
        </w:tc>
        <w:tc>
          <w:tcPr>
            <w:tcW w:w="1530" w:type="dxa"/>
          </w:tcPr>
          <w:p w14:paraId="3A777F3F" w14:textId="77777777" w:rsidR="00085070" w:rsidRPr="00874ABA" w:rsidRDefault="00085070" w:rsidP="007C31E2">
            <w:pPr>
              <w:autoSpaceDE w:val="0"/>
              <w:autoSpaceDN w:val="0"/>
              <w:adjustRightInd w:val="0"/>
              <w:spacing w:line="240" w:lineRule="auto"/>
              <w:rPr>
                <w:rFonts w:eastAsiaTheme="minorHAnsi" w:cs="Arial"/>
                <w:color w:val="000000"/>
                <w:sz w:val="24"/>
                <w:szCs w:val="24"/>
                <w:lang w:val="en-US" w:eastAsia="en-US"/>
              </w:rPr>
            </w:pPr>
            <w:r w:rsidRPr="00874ABA">
              <w:rPr>
                <w:rFonts w:cs="Arial"/>
                <w:sz w:val="24"/>
                <w:szCs w:val="24"/>
              </w:rPr>
              <w:t xml:space="preserve">ITT </w:t>
            </w:r>
          </w:p>
        </w:tc>
        <w:tc>
          <w:tcPr>
            <w:tcW w:w="1980" w:type="dxa"/>
          </w:tcPr>
          <w:p w14:paraId="15596017" w14:textId="77777777" w:rsidR="00085070" w:rsidRPr="00874ABA" w:rsidRDefault="00085070" w:rsidP="007C31E2">
            <w:pPr>
              <w:autoSpaceDE w:val="0"/>
              <w:autoSpaceDN w:val="0"/>
              <w:adjustRightInd w:val="0"/>
              <w:spacing w:line="240" w:lineRule="auto"/>
              <w:rPr>
                <w:rFonts w:eastAsiaTheme="minorHAnsi" w:cs="Arial"/>
                <w:color w:val="000000"/>
                <w:sz w:val="20"/>
                <w:lang w:val="en-US" w:eastAsia="en-US"/>
              </w:rPr>
            </w:pPr>
            <w:r w:rsidRPr="00874ABA">
              <w:rPr>
                <w:rFonts w:eastAsiaTheme="minorHAnsi" w:cs="Arial"/>
                <w:color w:val="000000"/>
                <w:sz w:val="24"/>
                <w:szCs w:val="24"/>
                <w:lang w:val="en-US" w:eastAsia="en-US"/>
              </w:rPr>
              <w:t>No</w:t>
            </w:r>
          </w:p>
        </w:tc>
      </w:tr>
      <w:tr w:rsidR="00085070" w:rsidRPr="00874ABA" w14:paraId="239A232C" w14:textId="77777777" w:rsidTr="007C31E2">
        <w:trPr>
          <w:trHeight w:val="229"/>
        </w:trPr>
        <w:tc>
          <w:tcPr>
            <w:tcW w:w="1273" w:type="dxa"/>
            <w:vMerge/>
          </w:tcPr>
          <w:p w14:paraId="38C4BDD0" w14:textId="77777777" w:rsidR="00085070" w:rsidRPr="00874ABA" w:rsidRDefault="00085070" w:rsidP="007C31E2">
            <w:pPr>
              <w:autoSpaceDE w:val="0"/>
              <w:autoSpaceDN w:val="0"/>
              <w:adjustRightInd w:val="0"/>
              <w:spacing w:line="240" w:lineRule="auto"/>
              <w:rPr>
                <w:rFonts w:eastAsiaTheme="minorHAnsi" w:cs="Arial"/>
                <w:b/>
                <w:bCs/>
                <w:color w:val="000000"/>
                <w:sz w:val="24"/>
                <w:szCs w:val="24"/>
                <w:lang w:val="en-US" w:eastAsia="en-US"/>
              </w:rPr>
            </w:pPr>
          </w:p>
        </w:tc>
        <w:tc>
          <w:tcPr>
            <w:tcW w:w="4230" w:type="dxa"/>
          </w:tcPr>
          <w:p w14:paraId="6EB2AB54" w14:textId="77777777" w:rsidR="00085070" w:rsidRPr="00874ABA" w:rsidRDefault="00085070" w:rsidP="007C31E2">
            <w:pPr>
              <w:pStyle w:val="Default"/>
              <w:rPr>
                <w:rFonts w:ascii="Arial" w:hAnsi="Arial" w:cs="Arial"/>
              </w:rPr>
            </w:pPr>
            <w:r w:rsidRPr="00874ABA">
              <w:rPr>
                <w:rFonts w:ascii="Arial" w:hAnsi="Arial" w:cs="Arial"/>
              </w:rPr>
              <w:t xml:space="preserve">Supplementary: Divergence effect analysis (MMRM) </w:t>
            </w:r>
          </w:p>
        </w:tc>
        <w:tc>
          <w:tcPr>
            <w:tcW w:w="1530" w:type="dxa"/>
          </w:tcPr>
          <w:p w14:paraId="57639C64" w14:textId="77777777" w:rsidR="00085070" w:rsidRPr="00874ABA" w:rsidRDefault="00085070" w:rsidP="007C31E2">
            <w:pPr>
              <w:autoSpaceDE w:val="0"/>
              <w:autoSpaceDN w:val="0"/>
              <w:adjustRightInd w:val="0"/>
              <w:spacing w:line="240" w:lineRule="auto"/>
              <w:rPr>
                <w:rFonts w:eastAsiaTheme="minorHAnsi" w:cs="Arial"/>
                <w:color w:val="000000"/>
                <w:sz w:val="24"/>
                <w:szCs w:val="24"/>
                <w:lang w:val="en-US" w:eastAsia="en-US"/>
              </w:rPr>
            </w:pPr>
            <w:r w:rsidRPr="00874ABA">
              <w:rPr>
                <w:rFonts w:cs="Arial"/>
                <w:sz w:val="24"/>
                <w:szCs w:val="24"/>
              </w:rPr>
              <w:t xml:space="preserve">ITT </w:t>
            </w:r>
          </w:p>
        </w:tc>
        <w:tc>
          <w:tcPr>
            <w:tcW w:w="1980" w:type="dxa"/>
          </w:tcPr>
          <w:p w14:paraId="2373914E" w14:textId="77777777" w:rsidR="00085070" w:rsidRPr="00874ABA" w:rsidRDefault="00085070" w:rsidP="007C31E2">
            <w:pPr>
              <w:autoSpaceDE w:val="0"/>
              <w:autoSpaceDN w:val="0"/>
              <w:adjustRightInd w:val="0"/>
              <w:spacing w:line="240" w:lineRule="auto"/>
              <w:rPr>
                <w:rFonts w:eastAsiaTheme="minorHAnsi" w:cs="Arial"/>
                <w:color w:val="000000"/>
                <w:sz w:val="20"/>
                <w:lang w:val="en-US" w:eastAsia="en-US"/>
              </w:rPr>
            </w:pPr>
            <w:r w:rsidRPr="00874ABA">
              <w:rPr>
                <w:rFonts w:eastAsiaTheme="minorHAnsi" w:cs="Arial"/>
                <w:color w:val="000000"/>
                <w:sz w:val="24"/>
                <w:szCs w:val="24"/>
                <w:lang w:val="en-US" w:eastAsia="en-US"/>
              </w:rPr>
              <w:t>No</w:t>
            </w:r>
          </w:p>
        </w:tc>
      </w:tr>
    </w:tbl>
    <w:p w14:paraId="6B440D8C" w14:textId="77777777" w:rsidR="00085070" w:rsidRPr="00874ABA" w:rsidRDefault="00085070" w:rsidP="00085070">
      <w:pPr>
        <w:pStyle w:val="Bulletlevel4"/>
        <w:numPr>
          <w:ilvl w:val="0"/>
          <w:numId w:val="0"/>
        </w:numPr>
        <w:rPr>
          <w:rFonts w:eastAsiaTheme="minorHAnsi" w:cs="Arial"/>
          <w:sz w:val="24"/>
          <w:szCs w:val="24"/>
          <w:lang w:val="en-US"/>
        </w:rPr>
      </w:pPr>
      <w:r w:rsidRPr="00874ABA">
        <w:rPr>
          <w:rFonts w:eastAsiaTheme="minorHAnsi" w:cs="Arial"/>
          <w:sz w:val="24"/>
          <w:szCs w:val="24"/>
          <w:lang w:val="en-US"/>
        </w:rPr>
        <w:t xml:space="preserve">* Analysis excludes data collected after the following intercurrent events: (1) premature discontinuation of the study treatment and (2) any change to concomitant AD symptomatic medications during the study. </w:t>
      </w:r>
    </w:p>
    <w:p w14:paraId="2CC8A766" w14:textId="77777777" w:rsidR="00085070" w:rsidRPr="00874ABA" w:rsidRDefault="00085070" w:rsidP="00085070">
      <w:pPr>
        <w:pStyle w:val="Bulletlevel4"/>
        <w:numPr>
          <w:ilvl w:val="0"/>
          <w:numId w:val="0"/>
        </w:numPr>
        <w:rPr>
          <w:rFonts w:eastAsiaTheme="minorHAnsi" w:cs="Arial"/>
          <w:sz w:val="24"/>
          <w:szCs w:val="24"/>
          <w:lang w:val="en-US"/>
        </w:rPr>
      </w:pPr>
    </w:p>
    <w:p w14:paraId="28CAD17E" w14:textId="77777777" w:rsidR="00085070" w:rsidRPr="00874ABA" w:rsidRDefault="00085070" w:rsidP="00085070">
      <w:pPr>
        <w:pStyle w:val="Bulletlevel4"/>
        <w:numPr>
          <w:ilvl w:val="0"/>
          <w:numId w:val="0"/>
        </w:numPr>
        <w:rPr>
          <w:rFonts w:eastAsiaTheme="minorHAnsi" w:cs="Arial"/>
          <w:b/>
          <w:bCs/>
          <w:sz w:val="24"/>
          <w:szCs w:val="24"/>
          <w:lang w:val="en-US"/>
        </w:rPr>
      </w:pPr>
      <w:r w:rsidRPr="00874ABA">
        <w:rPr>
          <w:rFonts w:eastAsiaTheme="minorHAnsi" w:cs="Arial"/>
          <w:b/>
          <w:bCs/>
          <w:sz w:val="24"/>
          <w:szCs w:val="24"/>
          <w:lang w:val="en-US"/>
        </w:rPr>
        <w:t>Handling of missing items for scales (verbatim from Statistical Analysis Plan)</w:t>
      </w:r>
    </w:p>
    <w:p w14:paraId="07D395A9" w14:textId="6C474888" w:rsidR="00085070" w:rsidRPr="00874ABA" w:rsidRDefault="00085070" w:rsidP="00085070">
      <w:pPr>
        <w:pStyle w:val="Bulletlevel4"/>
        <w:numPr>
          <w:ilvl w:val="0"/>
          <w:numId w:val="0"/>
        </w:numPr>
        <w:rPr>
          <w:rFonts w:eastAsiaTheme="minorHAnsi" w:cs="Arial"/>
          <w:sz w:val="24"/>
          <w:szCs w:val="24"/>
          <w:lang w:val="en-US"/>
        </w:rPr>
      </w:pPr>
      <w:r w:rsidRPr="00874ABA">
        <w:rPr>
          <w:rFonts w:eastAsiaTheme="minorHAnsi" w:cs="Arial"/>
          <w:sz w:val="24"/>
          <w:szCs w:val="24"/>
          <w:lang w:val="en-US"/>
        </w:rPr>
        <w:t>If any of the individual items for the primary and secondary endpoints is missing, the total score of the corresponding endpoint will be imputed by prorating the observed scores. For ADAS-Cog13, if 3 or fewer of 13 items (&lt;25%) are missing, the total score will be imputed by the following algorithm: Total score = total score from the completed items * [maximum total score (=85) / maximum total score for the completed items]. The imputed number will be rounded up to the nearest integer. If more than 3 items are missing, the total score of ADAS-Cog13 at that visit will be considered missing. For ADCS-ADL-MCI, if 4 or fewer of 18 items (&lt;25%) are missing, the total score will be imputed by a similar algorithm as that for ADAS-Cog13. The imputed number will be rounded up to the nearest integer. If more than 4 items are missing, the total score for ADCS-ADL-MCI at that visit will be considered missing. The same imputation algorithm will be applied to CDR-SB and MMSE, if only 1 box (of 6) of CDR is missing or if only 2 or fewer items (out of 11) are missing for MMSE. If the score from more than 1 box of CDR or more than 2 items of MMSE is not available, the CDR-SB or MMSE at that visit will be considered missing.</w:t>
      </w:r>
    </w:p>
    <w:p w14:paraId="5B21216D" w14:textId="77777777" w:rsidR="00085070" w:rsidRPr="00874ABA" w:rsidRDefault="00085070" w:rsidP="00085070">
      <w:pPr>
        <w:pStyle w:val="Bulletlevel4"/>
        <w:numPr>
          <w:ilvl w:val="0"/>
          <w:numId w:val="0"/>
        </w:numPr>
        <w:rPr>
          <w:rFonts w:eastAsiaTheme="minorHAnsi" w:cs="Arial"/>
          <w:sz w:val="24"/>
          <w:szCs w:val="24"/>
          <w:lang w:val="en-US"/>
        </w:rPr>
      </w:pPr>
    </w:p>
    <w:p w14:paraId="210C32CF" w14:textId="77777777" w:rsidR="00085070" w:rsidRPr="00874ABA" w:rsidRDefault="00085070" w:rsidP="00085070">
      <w:pPr>
        <w:pStyle w:val="Bulletlevel4"/>
        <w:numPr>
          <w:ilvl w:val="0"/>
          <w:numId w:val="0"/>
        </w:numPr>
        <w:rPr>
          <w:rFonts w:eastAsiaTheme="minorHAnsi" w:cs="Arial"/>
          <w:b/>
          <w:bCs/>
          <w:sz w:val="24"/>
          <w:szCs w:val="24"/>
          <w:lang w:val="en-US"/>
        </w:rPr>
      </w:pPr>
      <w:r w:rsidRPr="00874ABA">
        <w:rPr>
          <w:rFonts w:eastAsiaTheme="minorHAnsi" w:cs="Arial"/>
          <w:b/>
          <w:bCs/>
          <w:sz w:val="24"/>
          <w:szCs w:val="24"/>
          <w:lang w:val="en-US"/>
        </w:rPr>
        <w:t>Considerations for multiple comparison adjustments (verbatim from Statistical Analysis Plan)</w:t>
      </w:r>
    </w:p>
    <w:p w14:paraId="6C05EB5D" w14:textId="114EDA44" w:rsidR="00085070" w:rsidRPr="00874ABA" w:rsidRDefault="00085070" w:rsidP="00085070">
      <w:pPr>
        <w:pStyle w:val="Bulletlevel4"/>
        <w:numPr>
          <w:ilvl w:val="0"/>
          <w:numId w:val="0"/>
        </w:numPr>
        <w:rPr>
          <w:rFonts w:eastAsiaTheme="minorHAnsi" w:cs="Arial"/>
          <w:sz w:val="24"/>
          <w:szCs w:val="24"/>
          <w:lang w:val="en-US"/>
        </w:rPr>
      </w:pPr>
      <w:r w:rsidRPr="00874ABA">
        <w:rPr>
          <w:rFonts w:eastAsiaTheme="minorHAnsi" w:cs="Arial"/>
          <w:sz w:val="24"/>
          <w:szCs w:val="24"/>
          <w:lang w:val="en-US"/>
        </w:rPr>
        <w:t>A sequential (closed) testing procedure will be used to control the overall Type I error rate due to multiple comparisons for the primary endpoint. The order of treatment comparisons is as follows: aducanumab high</w:t>
      </w:r>
      <w:r w:rsidR="00A91DFA">
        <w:rPr>
          <w:rFonts w:eastAsiaTheme="minorHAnsi" w:cs="Arial"/>
          <w:sz w:val="24"/>
          <w:szCs w:val="24"/>
          <w:lang w:val="en-US"/>
        </w:rPr>
        <w:t xml:space="preserve"> </w:t>
      </w:r>
      <w:r w:rsidRPr="00874ABA">
        <w:rPr>
          <w:rFonts w:eastAsiaTheme="minorHAnsi" w:cs="Arial"/>
          <w:sz w:val="24"/>
          <w:szCs w:val="24"/>
          <w:lang w:val="en-US"/>
        </w:rPr>
        <w:t xml:space="preserve">dose vs placebo and aducanumab low-dose vs placebo. All comparisons after the initial comparison with </w:t>
      </w:r>
      <w:r w:rsidRPr="00874ABA">
        <w:rPr>
          <w:rFonts w:eastAsiaTheme="minorHAnsi" w:cs="Arial"/>
          <w:i/>
          <w:iCs/>
          <w:sz w:val="24"/>
          <w:szCs w:val="24"/>
          <w:lang w:val="en-US"/>
        </w:rPr>
        <w:t>P</w:t>
      </w:r>
      <w:r w:rsidRPr="00874ABA">
        <w:rPr>
          <w:rFonts w:eastAsiaTheme="minorHAnsi" w:cs="Arial"/>
          <w:sz w:val="24"/>
          <w:szCs w:val="24"/>
          <w:lang w:val="en-US"/>
        </w:rPr>
        <w:t>&gt;.05 will not be considered statistically significant.</w:t>
      </w:r>
    </w:p>
    <w:p w14:paraId="3A234985" w14:textId="77777777" w:rsidR="00085070" w:rsidRPr="00874ABA" w:rsidRDefault="00085070" w:rsidP="00085070">
      <w:pPr>
        <w:pStyle w:val="Bulletlevel4"/>
        <w:numPr>
          <w:ilvl w:val="0"/>
          <w:numId w:val="0"/>
        </w:numPr>
        <w:rPr>
          <w:rFonts w:eastAsiaTheme="minorHAnsi" w:cs="Arial"/>
          <w:sz w:val="24"/>
          <w:szCs w:val="24"/>
          <w:lang w:val="en-US"/>
        </w:rPr>
      </w:pPr>
      <w:r w:rsidRPr="00874ABA">
        <w:rPr>
          <w:rFonts w:eastAsiaTheme="minorHAnsi" w:cs="Arial"/>
          <w:sz w:val="24"/>
          <w:szCs w:val="24"/>
          <w:lang w:val="en-US"/>
        </w:rPr>
        <w:t xml:space="preserve">Secondary endpoints have been </w:t>
      </w:r>
      <w:proofErr w:type="gramStart"/>
      <w:r w:rsidRPr="00874ABA">
        <w:rPr>
          <w:rFonts w:eastAsiaTheme="minorHAnsi" w:cs="Arial"/>
          <w:sz w:val="24"/>
          <w:szCs w:val="24"/>
          <w:lang w:val="en-US"/>
        </w:rPr>
        <w:t>rank</w:t>
      </w:r>
      <w:proofErr w:type="gramEnd"/>
      <w:r w:rsidRPr="00874ABA">
        <w:rPr>
          <w:rFonts w:eastAsiaTheme="minorHAnsi" w:cs="Arial"/>
          <w:sz w:val="24"/>
          <w:szCs w:val="24"/>
          <w:lang w:val="en-US"/>
        </w:rPr>
        <w:t xml:space="preserve"> prioritized, in the order of MMSE, ADAS-Cog13, and ADCS-ADL-MCI. </w:t>
      </w:r>
      <w:proofErr w:type="gramStart"/>
      <w:r w:rsidRPr="00874ABA">
        <w:rPr>
          <w:rFonts w:eastAsiaTheme="minorHAnsi" w:cs="Arial"/>
          <w:sz w:val="24"/>
          <w:szCs w:val="24"/>
          <w:lang w:val="en-US"/>
        </w:rPr>
        <w:t>In order to</w:t>
      </w:r>
      <w:proofErr w:type="gramEnd"/>
      <w:r w:rsidRPr="00874ABA">
        <w:rPr>
          <w:rFonts w:eastAsiaTheme="minorHAnsi" w:cs="Arial"/>
          <w:sz w:val="24"/>
          <w:szCs w:val="24"/>
          <w:lang w:val="en-US"/>
        </w:rPr>
        <w:t xml:space="preserve"> control for a Type I error for the secondary endpoints, a sequential closed </w:t>
      </w:r>
      <w:r w:rsidRPr="00874ABA">
        <w:rPr>
          <w:rFonts w:eastAsiaTheme="minorHAnsi" w:cs="Arial"/>
          <w:sz w:val="24"/>
          <w:szCs w:val="24"/>
          <w:lang w:val="en-US"/>
        </w:rPr>
        <w:lastRenderedPageBreak/>
        <w:t>testing procedure will be used and will include both the order of the secondary endpoints and treatment comparisons. Specifically, for each of the secondary endpoints, a sequential (closed) testing procedure, as for the primary endpoint, will be used to control the overall Type I error rate due to multiple treatment comparisons. If statistical significance is not achieved for 1 or 2 treatment comparisons, all endpoint(s) of a lower rank will not be considered statistically significant for that 1or 2 treatment comparisons, respectively.</w:t>
      </w:r>
    </w:p>
    <w:p w14:paraId="76C83B2B" w14:textId="77777777" w:rsidR="00085070" w:rsidRPr="00874ABA" w:rsidRDefault="00085070" w:rsidP="00085070">
      <w:pPr>
        <w:pStyle w:val="Bulletlevel4"/>
        <w:numPr>
          <w:ilvl w:val="0"/>
          <w:numId w:val="0"/>
        </w:numPr>
        <w:rPr>
          <w:rFonts w:eastAsiaTheme="minorHAnsi" w:cs="Arial"/>
          <w:sz w:val="24"/>
          <w:szCs w:val="24"/>
          <w:lang w:val="en-US"/>
        </w:rPr>
      </w:pPr>
      <w:r w:rsidRPr="00874ABA">
        <w:rPr>
          <w:rFonts w:eastAsiaTheme="minorHAnsi" w:cs="Arial"/>
          <w:sz w:val="24"/>
          <w:szCs w:val="24"/>
          <w:lang w:val="en-US"/>
        </w:rPr>
        <w:t xml:space="preserve">There will be no multiple comparison adjustments for the sensitivity and supplementary analyses for the primary and secondary efficacy endpoints, the tertiary efficacy endpoints, the subgroup </w:t>
      </w:r>
      <w:proofErr w:type="gramStart"/>
      <w:r w:rsidRPr="00874ABA">
        <w:rPr>
          <w:rFonts w:eastAsiaTheme="minorHAnsi" w:cs="Arial"/>
          <w:sz w:val="24"/>
          <w:szCs w:val="24"/>
          <w:lang w:val="en-US"/>
        </w:rPr>
        <w:t>analyses</w:t>
      </w:r>
      <w:proofErr w:type="gramEnd"/>
      <w:r w:rsidRPr="00874ABA">
        <w:rPr>
          <w:rFonts w:eastAsiaTheme="minorHAnsi" w:cs="Arial"/>
          <w:sz w:val="24"/>
          <w:szCs w:val="24"/>
          <w:lang w:val="en-US"/>
        </w:rPr>
        <w:t xml:space="preserve"> or the additional analyses.</w:t>
      </w:r>
    </w:p>
    <w:p w14:paraId="7A92E83D" w14:textId="77777777" w:rsidR="00085070" w:rsidRPr="00874ABA" w:rsidRDefault="00085070" w:rsidP="00085070">
      <w:pPr>
        <w:pStyle w:val="Bulletlevel4"/>
        <w:numPr>
          <w:ilvl w:val="0"/>
          <w:numId w:val="0"/>
        </w:numPr>
        <w:rPr>
          <w:rFonts w:eastAsiaTheme="minorHAnsi" w:cs="Arial"/>
          <w:sz w:val="24"/>
          <w:szCs w:val="24"/>
          <w:lang w:val="en-US"/>
        </w:rPr>
      </w:pPr>
    </w:p>
    <w:p w14:paraId="70E463AB" w14:textId="77777777" w:rsidR="00085070" w:rsidRPr="00874ABA" w:rsidRDefault="00085070" w:rsidP="00085070">
      <w:pPr>
        <w:pStyle w:val="Bulletlevel4"/>
        <w:numPr>
          <w:ilvl w:val="0"/>
          <w:numId w:val="0"/>
        </w:numPr>
        <w:rPr>
          <w:rFonts w:eastAsiaTheme="minorHAnsi" w:cs="Arial"/>
          <w:b/>
          <w:bCs/>
          <w:sz w:val="24"/>
          <w:szCs w:val="24"/>
          <w:lang w:val="en-US"/>
        </w:rPr>
      </w:pPr>
      <w:r w:rsidRPr="00874ABA">
        <w:rPr>
          <w:rFonts w:eastAsiaTheme="minorHAnsi" w:cs="Arial"/>
          <w:b/>
          <w:bCs/>
          <w:sz w:val="24"/>
          <w:szCs w:val="24"/>
          <w:lang w:val="en-US"/>
        </w:rPr>
        <w:t>Primary analysis of CDR-SB (primary endpoint)</w:t>
      </w:r>
    </w:p>
    <w:p w14:paraId="04D08C8A" w14:textId="77777777" w:rsidR="00085070" w:rsidRPr="00874ABA" w:rsidRDefault="00085070" w:rsidP="00085070">
      <w:pPr>
        <w:pStyle w:val="Bulletlevel4"/>
        <w:numPr>
          <w:ilvl w:val="0"/>
          <w:numId w:val="0"/>
        </w:numPr>
        <w:rPr>
          <w:rFonts w:eastAsiaTheme="minorHAnsi" w:cs="Arial"/>
          <w:sz w:val="24"/>
          <w:szCs w:val="24"/>
          <w:lang w:val="en-US"/>
        </w:rPr>
      </w:pPr>
      <w:r w:rsidRPr="00874ABA">
        <w:rPr>
          <w:rFonts w:eastAsiaTheme="minorHAnsi" w:cs="Arial"/>
          <w:sz w:val="24"/>
          <w:szCs w:val="24"/>
          <w:lang w:val="en-US"/>
        </w:rPr>
        <w:t xml:space="preserve">The </w:t>
      </w:r>
      <w:proofErr w:type="spellStart"/>
      <w:r w:rsidRPr="00874ABA">
        <w:rPr>
          <w:rFonts w:eastAsiaTheme="minorHAnsi" w:cs="Arial"/>
          <w:sz w:val="24"/>
          <w:szCs w:val="24"/>
          <w:lang w:val="en-US"/>
        </w:rPr>
        <w:t>estimand</w:t>
      </w:r>
      <w:proofErr w:type="spellEnd"/>
      <w:r w:rsidRPr="00874ABA">
        <w:rPr>
          <w:rFonts w:eastAsiaTheme="minorHAnsi" w:cs="Arial"/>
          <w:sz w:val="24"/>
          <w:szCs w:val="24"/>
          <w:lang w:val="en-US"/>
        </w:rPr>
        <w:t xml:space="preserve"> of the primary analysis is the mean difference of the change from baseline CDR-SB scores at week 78 between treatment groups in the ITT population. All observed data will be included in the primary analysis, including data collected after intercurrent events, i.e., treatment discontinuation or a change in concomitant use of AD symptomatic medication.</w:t>
      </w:r>
    </w:p>
    <w:p w14:paraId="4FAC2F85" w14:textId="77777777" w:rsidR="00085070" w:rsidRPr="00874ABA" w:rsidRDefault="00085070" w:rsidP="00085070">
      <w:pPr>
        <w:pStyle w:val="Bulletlevel4"/>
        <w:numPr>
          <w:ilvl w:val="0"/>
          <w:numId w:val="0"/>
        </w:numPr>
        <w:rPr>
          <w:rFonts w:eastAsiaTheme="minorHAnsi" w:cs="Arial"/>
          <w:sz w:val="24"/>
          <w:szCs w:val="24"/>
          <w:lang w:val="en-US"/>
        </w:rPr>
      </w:pPr>
      <w:r w:rsidRPr="00874ABA">
        <w:rPr>
          <w:rFonts w:eastAsiaTheme="minorHAnsi" w:cs="Arial"/>
          <w:sz w:val="24"/>
          <w:szCs w:val="24"/>
          <w:lang w:val="en-US"/>
        </w:rPr>
        <w:t>The change from baseline CDR-SB scores will be summarized by treatment group at each post-baseline visit. A mixed model repeated measures (MMRM) model will be used as the primary analysis to analyze change from baseline CDR-SB using fixed effects of treatment group, time (categorical), treatment group-by-time interaction, baseline CDR-SB, baseline CDR-SB by time interaction, baseline MMSE, AD symptomatic medication use at baseline (yes/no), region, and laboratory ApoE ε4 status (carrier/noncarrier). An unstructured covariance matrix will be used to model the within-patient variance-covariance errors. If the unstructured covariance structure matrix results in a lack of convergence, the heterogeneous Toeplitz covariance structure followed by the heterogeneous first-order autoregressive covariance structure will be used. The Kenward-Roger approximation will be used to estimate the denominator degrees of freedom. In the primary analysis, missing data are assumed to be missing at random.</w:t>
      </w:r>
    </w:p>
    <w:p w14:paraId="1BA7F3A9" w14:textId="77777777" w:rsidR="00085070" w:rsidRPr="00874ABA" w:rsidRDefault="00085070" w:rsidP="00085070">
      <w:pPr>
        <w:pStyle w:val="Bulletlevel4"/>
        <w:numPr>
          <w:ilvl w:val="0"/>
          <w:numId w:val="0"/>
        </w:numPr>
        <w:rPr>
          <w:rFonts w:eastAsiaTheme="minorHAnsi" w:cs="Arial"/>
          <w:sz w:val="24"/>
          <w:szCs w:val="24"/>
          <w:lang w:val="en-US"/>
        </w:rPr>
      </w:pPr>
    </w:p>
    <w:p w14:paraId="153B54EB" w14:textId="77777777" w:rsidR="00085070" w:rsidRPr="00874ABA" w:rsidRDefault="00085070" w:rsidP="00085070">
      <w:pPr>
        <w:pStyle w:val="Bulletlevel4"/>
        <w:numPr>
          <w:ilvl w:val="0"/>
          <w:numId w:val="0"/>
        </w:numPr>
        <w:rPr>
          <w:rFonts w:eastAsiaTheme="minorHAnsi" w:cs="Arial"/>
          <w:b/>
          <w:bCs/>
          <w:sz w:val="24"/>
          <w:szCs w:val="24"/>
          <w:lang w:val="en-US"/>
        </w:rPr>
      </w:pPr>
      <w:r w:rsidRPr="00874ABA">
        <w:rPr>
          <w:rFonts w:eastAsiaTheme="minorHAnsi" w:cs="Arial"/>
          <w:b/>
          <w:bCs/>
          <w:sz w:val="24"/>
          <w:szCs w:val="24"/>
          <w:lang w:val="en-US"/>
        </w:rPr>
        <w:t>Primary analysis of MMSE (secondary endpoint)</w:t>
      </w:r>
    </w:p>
    <w:p w14:paraId="20356987" w14:textId="77777777" w:rsidR="00085070" w:rsidRPr="00874ABA" w:rsidRDefault="00085070" w:rsidP="00085070">
      <w:pPr>
        <w:pStyle w:val="Bulletlevel4"/>
        <w:numPr>
          <w:ilvl w:val="0"/>
          <w:numId w:val="0"/>
        </w:numPr>
        <w:rPr>
          <w:rFonts w:eastAsiaTheme="minorHAnsi" w:cs="Arial"/>
          <w:sz w:val="24"/>
          <w:szCs w:val="24"/>
          <w:lang w:val="en-US"/>
        </w:rPr>
      </w:pPr>
      <w:r w:rsidRPr="00874ABA">
        <w:rPr>
          <w:rFonts w:eastAsiaTheme="minorHAnsi" w:cs="Arial"/>
          <w:sz w:val="24"/>
          <w:szCs w:val="24"/>
          <w:lang w:val="en-US"/>
        </w:rPr>
        <w:t xml:space="preserve">The change from baseline MMSE scores will be summarized by treatment group at each post-baseline visit. An MMRM model will be used as the primary analysis to analyze change from baseline MMSE using fixed effects of treatment group, time (categorical), treatment group-by-time interaction, baseline MMSE value, baseline MMSE by time interaction, AD symptomatic medication </w:t>
      </w:r>
      <w:proofErr w:type="gramStart"/>
      <w:r w:rsidRPr="00874ABA">
        <w:rPr>
          <w:rFonts w:eastAsiaTheme="minorHAnsi" w:cs="Arial"/>
          <w:sz w:val="24"/>
          <w:szCs w:val="24"/>
          <w:lang w:val="en-US"/>
        </w:rPr>
        <w:t>use</w:t>
      </w:r>
      <w:proofErr w:type="gramEnd"/>
      <w:r w:rsidRPr="00874ABA">
        <w:rPr>
          <w:rFonts w:eastAsiaTheme="minorHAnsi" w:cs="Arial"/>
          <w:sz w:val="24"/>
          <w:szCs w:val="24"/>
          <w:lang w:val="en-US"/>
        </w:rPr>
        <w:t xml:space="preserve"> at baseline (yes/no), region, and laboratory ApoE ε4 status (carrier/noncarrier). The same methods as in the primary analysis will be considered for the covariance structure and the degrees of freedom.</w:t>
      </w:r>
    </w:p>
    <w:p w14:paraId="3C1E35B0" w14:textId="77777777" w:rsidR="00085070" w:rsidRPr="00874ABA" w:rsidRDefault="00085070" w:rsidP="00085070">
      <w:pPr>
        <w:pStyle w:val="Bulletlevel4"/>
        <w:numPr>
          <w:ilvl w:val="0"/>
          <w:numId w:val="0"/>
        </w:numPr>
        <w:rPr>
          <w:rFonts w:eastAsiaTheme="minorHAnsi" w:cs="Arial"/>
          <w:sz w:val="24"/>
          <w:szCs w:val="24"/>
          <w:lang w:val="en-US"/>
        </w:rPr>
      </w:pPr>
    </w:p>
    <w:p w14:paraId="6DFE6C03" w14:textId="3D9A2696" w:rsidR="00085070" w:rsidRPr="00874ABA" w:rsidRDefault="00085070" w:rsidP="00085070">
      <w:pPr>
        <w:pStyle w:val="Bulletlevel4"/>
        <w:numPr>
          <w:ilvl w:val="0"/>
          <w:numId w:val="0"/>
        </w:numPr>
        <w:rPr>
          <w:rFonts w:eastAsiaTheme="minorHAnsi" w:cs="Arial"/>
          <w:b/>
          <w:bCs/>
          <w:sz w:val="24"/>
          <w:szCs w:val="24"/>
          <w:lang w:val="en-US"/>
        </w:rPr>
      </w:pPr>
      <w:r w:rsidRPr="00874ABA">
        <w:rPr>
          <w:rFonts w:eastAsiaTheme="minorHAnsi" w:cs="Arial"/>
          <w:b/>
          <w:bCs/>
          <w:sz w:val="24"/>
          <w:szCs w:val="24"/>
          <w:lang w:val="en-US"/>
        </w:rPr>
        <w:t>Primary analysis of ADAS-Cog13 (secondary endpoint)</w:t>
      </w:r>
    </w:p>
    <w:p w14:paraId="5482AF71" w14:textId="04DD181D" w:rsidR="00085070" w:rsidRPr="00874ABA" w:rsidRDefault="00085070" w:rsidP="00085070">
      <w:pPr>
        <w:pStyle w:val="Bulletlevel4"/>
        <w:numPr>
          <w:ilvl w:val="0"/>
          <w:numId w:val="0"/>
        </w:numPr>
        <w:rPr>
          <w:rFonts w:eastAsiaTheme="minorHAnsi" w:cs="Arial"/>
          <w:sz w:val="24"/>
          <w:szCs w:val="24"/>
          <w:lang w:val="en-US"/>
        </w:rPr>
      </w:pPr>
      <w:r w:rsidRPr="00874ABA">
        <w:rPr>
          <w:rFonts w:eastAsiaTheme="minorHAnsi" w:cs="Arial"/>
          <w:sz w:val="24"/>
          <w:szCs w:val="24"/>
          <w:lang w:val="en-US"/>
        </w:rPr>
        <w:lastRenderedPageBreak/>
        <w:t>The change from baseline ADAS-Cog13 scores will be summarized by treatment group at each post-baseline visit. An MMRM model will be used as the primary analysis to analyze change from baseline ADAS-Cog13 using fixed effects of treatment group, time (categorical), treatment group-by-time interaction, baseline ADAS-Cog13, baseline ADAS-Cog13 by time interaction, baseline MMSE, AD symptomatic medication use at baseline (yes/no), region, and laboratory ApoE ε4 status (carrier/noncarrier). The same methods as in the primary analysis will be considered for the covariance structure and the degrees of freedom.</w:t>
      </w:r>
    </w:p>
    <w:p w14:paraId="349161BC" w14:textId="77777777" w:rsidR="00085070" w:rsidRPr="00874ABA" w:rsidRDefault="00085070" w:rsidP="00085070">
      <w:pPr>
        <w:pStyle w:val="Bulletlevel4"/>
        <w:numPr>
          <w:ilvl w:val="0"/>
          <w:numId w:val="0"/>
        </w:numPr>
        <w:rPr>
          <w:rFonts w:eastAsiaTheme="minorHAnsi" w:cs="Arial"/>
          <w:sz w:val="24"/>
          <w:szCs w:val="24"/>
          <w:lang w:val="en-US"/>
        </w:rPr>
      </w:pPr>
    </w:p>
    <w:p w14:paraId="485F416A" w14:textId="77777777" w:rsidR="00085070" w:rsidRPr="00874ABA" w:rsidRDefault="00085070" w:rsidP="00085070">
      <w:pPr>
        <w:pStyle w:val="Bulletlevel4"/>
        <w:numPr>
          <w:ilvl w:val="0"/>
          <w:numId w:val="0"/>
        </w:numPr>
        <w:rPr>
          <w:rFonts w:eastAsiaTheme="minorHAnsi" w:cs="Arial"/>
          <w:b/>
          <w:bCs/>
          <w:sz w:val="24"/>
          <w:szCs w:val="24"/>
          <w:lang w:val="en-US"/>
        </w:rPr>
      </w:pPr>
      <w:r w:rsidRPr="00874ABA">
        <w:rPr>
          <w:rFonts w:eastAsiaTheme="minorHAnsi" w:cs="Arial"/>
          <w:b/>
          <w:bCs/>
          <w:sz w:val="24"/>
          <w:szCs w:val="24"/>
          <w:lang w:val="en-US"/>
        </w:rPr>
        <w:t>Primary analysis of ADCS-ADL-MCI (secondary endpoint)</w:t>
      </w:r>
    </w:p>
    <w:p w14:paraId="095D4A5D" w14:textId="77777777" w:rsidR="00085070" w:rsidRPr="00874ABA" w:rsidRDefault="00085070" w:rsidP="00085070">
      <w:pPr>
        <w:pStyle w:val="Bulletlevel4"/>
        <w:numPr>
          <w:ilvl w:val="0"/>
          <w:numId w:val="0"/>
        </w:numPr>
        <w:rPr>
          <w:rFonts w:eastAsiaTheme="minorHAnsi" w:cs="Arial"/>
          <w:sz w:val="24"/>
          <w:szCs w:val="24"/>
          <w:lang w:val="en-US"/>
        </w:rPr>
      </w:pPr>
      <w:r w:rsidRPr="00874ABA">
        <w:rPr>
          <w:rFonts w:eastAsiaTheme="minorHAnsi" w:cs="Arial"/>
          <w:sz w:val="24"/>
          <w:szCs w:val="24"/>
          <w:lang w:val="en-US"/>
        </w:rPr>
        <w:t>The change from baseline ADCS-ADL-MCI scores will be summarized by treatment group at each post-baseline visit. An MMRM model will be used as the primary analysis to analyze change from baseline ADCS-ADL-MCI using fixed effects of treatment group, time (categorical), treatment group-by-time interaction, baseline ADCS-ADL-MCI, baseline ADCS-ADL-MCI by time interaction, baseline MMSE, AD symptomatic medication use at baseline (yes/no), region, and laboratory ApoE ε4 status (carrier/noncarrier). The same methods as in the primary analysis will be considered for the covariance structure and the degrees of freedom.</w:t>
      </w:r>
    </w:p>
    <w:p w14:paraId="5AFA96DE" w14:textId="77777777" w:rsidR="00085070" w:rsidRPr="00874ABA" w:rsidRDefault="00085070" w:rsidP="00085070">
      <w:pPr>
        <w:pStyle w:val="Bulletlevel4"/>
        <w:numPr>
          <w:ilvl w:val="0"/>
          <w:numId w:val="0"/>
        </w:numPr>
        <w:rPr>
          <w:rFonts w:eastAsiaTheme="minorHAnsi" w:cs="Arial"/>
          <w:sz w:val="24"/>
          <w:szCs w:val="24"/>
          <w:lang w:val="en-US"/>
        </w:rPr>
      </w:pPr>
    </w:p>
    <w:p w14:paraId="2F89D9C9" w14:textId="00489589" w:rsidR="00085070" w:rsidRPr="00874ABA" w:rsidRDefault="00085070" w:rsidP="00085070">
      <w:pPr>
        <w:pStyle w:val="Text"/>
        <w:rPr>
          <w:rFonts w:cs="Arial"/>
          <w:szCs w:val="22"/>
        </w:rPr>
      </w:pPr>
      <w:r w:rsidRPr="00874ABA">
        <w:rPr>
          <w:rFonts w:eastAsiaTheme="minorHAnsi" w:cs="Arial"/>
          <w:sz w:val="24"/>
          <w:szCs w:val="24"/>
          <w:lang w:val="en-US"/>
        </w:rPr>
        <w:t>The baseline and change from baseline amyloid SUVR values will be summarized by treatment groups (placebo, low</w:t>
      </w:r>
      <w:r w:rsidR="00A91DFA">
        <w:rPr>
          <w:rFonts w:eastAsiaTheme="minorHAnsi" w:cs="Arial"/>
          <w:sz w:val="24"/>
          <w:szCs w:val="24"/>
          <w:lang w:val="en-US"/>
        </w:rPr>
        <w:t xml:space="preserve"> </w:t>
      </w:r>
      <w:proofErr w:type="gramStart"/>
      <w:r w:rsidRPr="00874ABA">
        <w:rPr>
          <w:rFonts w:eastAsiaTheme="minorHAnsi" w:cs="Arial"/>
          <w:sz w:val="24"/>
          <w:szCs w:val="24"/>
          <w:lang w:val="en-US"/>
        </w:rPr>
        <w:t>dose</w:t>
      </w:r>
      <w:proofErr w:type="gramEnd"/>
      <w:r w:rsidRPr="00874ABA">
        <w:rPr>
          <w:rFonts w:eastAsiaTheme="minorHAnsi" w:cs="Arial"/>
          <w:sz w:val="24"/>
          <w:szCs w:val="24"/>
          <w:lang w:val="en-US"/>
        </w:rPr>
        <w:t xml:space="preserve"> and high</w:t>
      </w:r>
      <w:r w:rsidR="00A91DFA">
        <w:rPr>
          <w:rFonts w:eastAsiaTheme="minorHAnsi" w:cs="Arial"/>
          <w:sz w:val="24"/>
          <w:szCs w:val="24"/>
          <w:lang w:val="en-US"/>
        </w:rPr>
        <w:t xml:space="preserve"> </w:t>
      </w:r>
      <w:r w:rsidRPr="00874ABA">
        <w:rPr>
          <w:rFonts w:eastAsiaTheme="minorHAnsi" w:cs="Arial"/>
          <w:sz w:val="24"/>
          <w:szCs w:val="24"/>
          <w:lang w:val="en-US"/>
        </w:rPr>
        <w:t>dose) and by visit for the amyloid PET analysis population. An MMRM model will be used to analyze change from baseline SUVR with cerebellum as the reference region. Fixed effects of the model will include treatment groups (placebo, low</w:t>
      </w:r>
      <w:r w:rsidR="00A91DFA">
        <w:rPr>
          <w:rFonts w:eastAsiaTheme="minorHAnsi" w:cs="Arial"/>
          <w:sz w:val="24"/>
          <w:szCs w:val="24"/>
          <w:lang w:val="en-US"/>
        </w:rPr>
        <w:t xml:space="preserve"> </w:t>
      </w:r>
      <w:proofErr w:type="gramStart"/>
      <w:r w:rsidR="00A91DFA">
        <w:rPr>
          <w:rFonts w:eastAsiaTheme="minorHAnsi" w:cs="Arial"/>
          <w:sz w:val="24"/>
          <w:szCs w:val="24"/>
          <w:lang w:val="en-US"/>
        </w:rPr>
        <w:t>d</w:t>
      </w:r>
      <w:r w:rsidRPr="00874ABA">
        <w:rPr>
          <w:rFonts w:eastAsiaTheme="minorHAnsi" w:cs="Arial"/>
          <w:sz w:val="24"/>
          <w:szCs w:val="24"/>
          <w:lang w:val="en-US"/>
        </w:rPr>
        <w:t>ose</w:t>
      </w:r>
      <w:proofErr w:type="gramEnd"/>
      <w:r w:rsidRPr="00874ABA">
        <w:rPr>
          <w:rFonts w:eastAsiaTheme="minorHAnsi" w:cs="Arial"/>
          <w:sz w:val="24"/>
          <w:szCs w:val="24"/>
          <w:lang w:val="en-US"/>
        </w:rPr>
        <w:t xml:space="preserve"> and high</w:t>
      </w:r>
      <w:r w:rsidR="00A91DFA">
        <w:rPr>
          <w:rFonts w:eastAsiaTheme="minorHAnsi" w:cs="Arial"/>
          <w:sz w:val="24"/>
          <w:szCs w:val="24"/>
          <w:lang w:val="en-US"/>
        </w:rPr>
        <w:t xml:space="preserve"> </w:t>
      </w:r>
      <w:r w:rsidRPr="00874ABA">
        <w:rPr>
          <w:rFonts w:eastAsiaTheme="minorHAnsi" w:cs="Arial"/>
          <w:sz w:val="24"/>
          <w:szCs w:val="24"/>
          <w:lang w:val="en-US"/>
        </w:rPr>
        <w:t xml:space="preserve">dose), visit (week 26 and week 78), treatment group-by-visit interaction, baseline SUVR (continuous), baseline SUVR by visit interaction, baseline MMSE (continuous), laboratory ApoE ε4 status (carrier and noncarrier), and baseline age (continuous). Visit and treatment group will be treated as categorical variables in the model along with their interactions. An unstructured covariance matrix will be used to model the within-patient variance-covariance errors. If the unstructured covariance structure matrix results in a lack of convergence in any of the parameters, the heterogeneous Toeplitz covariance structure followed by the heterogeneous first-order autoregressive covariance structure will be used for all the parameters. The Kenward-Roger approximation will be used to estimate the denominator degrees of freedom. Adjusted means for each treatment group, pairwise adjusted differences with placebo, 95% confidence intervals for the differences and associated p-values will be presented at week 26 and week 78. </w:t>
      </w:r>
      <w:r w:rsidRPr="00874ABA">
        <w:rPr>
          <w:rFonts w:cs="Arial"/>
        </w:rPr>
        <w:t>The composite SUVR was also transformed to the centiloid (CL) scale using the following conversion equation: CL = 100*(SUVR – 1.0124) / 0.4339. This equation was derived following methods described previously</w:t>
      </w:r>
      <w:r w:rsidRPr="00874ABA">
        <w:rPr>
          <w:rFonts w:cs="Arial"/>
          <w:szCs w:val="22"/>
        </w:rPr>
        <w:t>.</w:t>
      </w:r>
      <w:r w:rsidRPr="00874ABA">
        <w:rPr>
          <w:rFonts w:cs="Arial"/>
          <w:szCs w:val="22"/>
        </w:rPr>
        <w:fldChar w:fldCharType="begin">
          <w:fldData xml:space="preserve">PEVuZE5vdGU+PENpdGU+PEF1dGhvcj5LbHVuazwvQXV0aG9yPjxZZWFyPjIwMTU8L1llYXI+PFJl
Y051bT43MzwvUmVjTnVtPjxEaXNwbGF5VGV4dD48c3R5bGUgZmFjZT0ic3VwZXJzY3JpcHQiPjE8
L3N0eWxlPjwvRGlzcGxheVRleHQ+PHJlY29yZD48cmVjLW51bWJlcj43MzwvcmVjLW51bWJlcj48
Zm9yZWlnbi1rZXlzPjxrZXkgYXBwPSJFTiIgZGItaWQ9InJydnB2MDlzNXRhNXJ1ZWVyMjY1MmFy
ZWZwdjIwdmF0MmFhdCIgdGltZXN0YW1wPSIxNjI1NTA0MzUxIj43Mzwva2V5PjwvZm9yZWlnbi1r
ZXlzPjxyZWYtdHlwZSBuYW1lPSJKb3VybmFsIEFydGljbGUiPjE3PC9yZWYtdHlwZT48Y29udHJp
YnV0b3JzPjxhdXRob3JzPjxhdXRob3I+S2x1bmssIFcuIEUuPC9hdXRob3I+PGF1dGhvcj5Lb2Vw
cGUsIFIuIEEuPC9hdXRob3I+PGF1dGhvcj5QcmljZSwgSi4gQy48L2F1dGhvcj48YXV0aG9yPkJl
bnppbmdlciwgVC4gTC48L2F1dGhvcj48YXV0aG9yPkRldm91cywgTS4gRC4sIFNyLjwvYXV0aG9y
PjxhdXRob3I+SmFndXN0LCBXLiBKLjwvYXV0aG9yPjxhdXRob3I+Sm9obnNvbiwgSy4gQS48L2F1
dGhvcj48YXV0aG9yPk1hdGhpcywgQy4gQS48L2F1dGhvcj48YXV0aG9yPk1pbmhhcywgRC48L2F1
dGhvcj48YXV0aG9yPlBvbnRlY29ydm8sIE0uIEouPC9hdXRob3I+PGF1dGhvcj5Sb3dlLCBDLiBD
LjwvYXV0aG9yPjxhdXRob3I+U2tvdnJvbnNreSwgRC4gTS48L2F1dGhvcj48YXV0aG9yPk1pbnR1
biwgTS4gQS48L2F1dGhvcj48L2F1dGhvcnM+PC9jb250cmlidXRvcnM+PGF1dGgtYWRkcmVzcz5E
ZXBhcnRtZW50IG9mIFBzeWNoaWF0cnksIE1hc3NhY2h1c2V0dHMgR2VuZXJhbCBIb3NwaXRhbCwg
Qm9zdG9uLCBNQSwgVVNBOyBEZXBhcnRtZW50IG9mIE5ldXJvbG9neSwgVW5pdmVyc2l0eSBvZiBQ
aXR0c2J1cmdoLCBQaXR0c2J1cmdoLiBQQSwgVVNBLiBFbGVjdHJvbmljIGFkZHJlc3M6IGtsdW5r
d2VAdXBtYy5lZHUuJiN4RDtEZXBhcnRtZW50IG9mIFJhZGlvbG9neSwgVW5pdmVyc2l0eSBvZiBN
aWNoaWdhbiwgQW5uIEFyYm9yLCBNSSwgVVNBLiYjeEQ7RGVwYXJ0bWVudCBvZiBSYWRpb2xvZ3ks
IFVuaXZlcnNpdHkgb2YgUGl0dHNidXJnaCwgUGl0dHNidXJnaCwgUEEsIFVTQS4mI3hEO0RlcGFy
dG1lbnQgb2YgUmFkaW9sb2d5LCBNYXNzYWNodXNldHRzIEdlbmVyYWwgSG9zcGl0YWwsIEJvc3Rv
biwgTUEsIFVTQTsgRGVwYXJ0bWVudCBvZiBOZXVyb3N1cmdlcnksIFdhc2hpbmd0b24gVW5pdmVy
c2l0eSwgU2FpbnQgTG91aXMsIE1PLCBVU0EuJiN4RDtEZXBhcnRtZW50IG9mIE5ldXJvbG9neSwg
VVQgU291dGh3ZXN0ZXJuIE1lZGljYWwgQ2VudGVyLCBEYWxsYXMsIFRYLCBVU0E7IERlcGFydG1l
bnQgb2YgUmFkaW9sb2d5LCBVVCBTb3V0aHdlc3Rlcm4gTWVkaWNhbCBDZW50ZXIsIERhbGxhcywg
VFgsIFVTQS4mI3hEO0hlbGVuIFdpbGxzIE5ldXJvc2NpZW5jZSBJbnN0aXR1dGUsIFVuaXZlcnNp
dHkgb2YgQ2FsaWZvcm5pYSBCZXJrZWxleSwgQmVya2VsZXksIENBLCBVU0EuJiN4RDtEZXBhcnRt
ZW50IG9mIFJhZGlvbG9neSwgTWFzc2FjaHVzZXR0cyBHZW5lcmFsIEhvc3BpdGFsLCBCb3N0b24s
IE1BLCBVU0E7IERlcGFydG1lbnQgb2YgTmV1cm9sb2d5LCBNYXNzYWNodXNldHRzIEdlbmVyYWwg
SG9zcGl0YWwsIEJvc3RvbiwgTUEsIFVTQS4mI3hEO0RlcGFydG1lbnRzIG9mIFJhZGlvbG9neSwg
UGhhcm1hY29sb2d5IGFuZCBCaW9sb2dpY2FsIENoZW1pc3RyeSwgYW5kIFBoYXJtYWNldXRpY2Fs
IFNjaWVuY2VzLCBVbml2ZXJzaXR5IG9mIFBpdHRzYnVyZ2gsIFBpdHRzYnVyZ2gsIFBBLCBVU0Eu
JiN4RDtBdmlkIFJhZGlvcGhhcm1hY2V1dGljYWxzLCBQaGlsYWRlbHBoaWEsIFBBLCBVU0EuJiN4
RDtEZXBhcnRtZW50IG9mIE51Y2xlYXIgTWVkaWNpbmUgYW5kIENlbnRyZSBmb3IgUEVULCBBdXN0
aW4gSGVhbHRoLCBNZWxib3VybmUsIFZJQywgQXVzdHJhbGlhLjwvYXV0aC1hZGRyZXNzPjx0aXRs
ZXM+PHRpdGxlPlRoZSBDZW50aWxvaWQgUHJvamVjdDogc3RhbmRhcmRpemluZyBxdWFudGl0YXRp
dmUgYW15bG9pZCBwbGFxdWUgZXN0aW1hdGlvbiBieSBQRVQ8L3RpdGxlPjxzZWNvbmRhcnktdGl0
bGU+QWx6aGVpbWVycyBEZW1lbnQ8L3NlY29uZGFyeS10aXRsZT48L3RpdGxlcz48cGVyaW9kaWNh
bD48ZnVsbC10aXRsZT5BbHpoZWltZXJzIERlbWVudDwvZnVsbC10aXRsZT48L3BlcmlvZGljYWw+
PHBhZ2VzPjEtMTUgZTEtNDwvcGFnZXM+PHZvbHVtZT4xMTwvdm9sdW1lPjxudW1iZXI+MTwvbnVt
YmVyPjxlZGl0aW9uPjIwMTQvMTIvMDM8L2VkaXRpb24+PGtleXdvcmRzPjxrZXl3b3JkPkFnZWQ8
L2tleXdvcmQ+PGtleXdvcmQ+QWdlZCwgODAgYW5kIG92ZXI8L2tleXdvcmQ+PGtleXdvcmQ+QWx6
aGVpbWVyIERpc2Vhc2UvKmRpYWdub3N0aWMgaW1hZ2luZy9tZXRhYm9saXNtPC9rZXl3b3JkPjxr
ZXl3b3JkPkFteWxvaWQvbWV0YWJvbGlzbTwva2V5d29yZD48a2V5d29yZD5BbmlsaW5lIENvbXBv
dW5kczwva2V5d29yZD48a2V5d29yZD5CcmFpbi9kaWFnbm9zdGljIGltYWdpbmcvbWV0YWJvbGlz
bTwva2V5d29yZD48a2V5d29yZD5DYWxpYnJhdGlvbjwva2V5d29yZD48a2V5d29yZD5GbHVvcm9k
ZW94eWdsdWNvc2UgRjE4PC9rZXl3b3JkPjxrZXl3b3JkPkh1bWFuczwva2V5d29yZD48a2V5d29y
ZD5JbWFnZSBJbnRlcnByZXRhdGlvbiwgQ29tcHV0ZXItQXNzaXN0ZWQ8L2tleXdvcmQ+PGtleXdv
cmQ+TWlkZGxlIEFnZWQ8L2tleXdvcmQ+PGtleXdvcmQ+UGxhcXVlLCBBbXlsb2lkLypkaWFnbm9z
dGljIGltYWdpbmcvbWV0YWJvbGlzbTwva2V5d29yZD48a2V5d29yZD5Qb3NpdHJvbi1FbWlzc2lv
biBUb21vZ3JhcGh5LypzdGFuZGFyZHM8L2tleXdvcmQ+PGtleXdvcmQ+UmFkaW9waGFybWFjZXV0
aWNhbHM8L2tleXdvcmQ+PGtleXdvcmQ+VGhpYXpvbGVzPC9rZXl3b3JkPjxrZXl3b3JkPkFteWxv
aWQgaW1hZ2luZzwva2V5d29yZD48a2V5d29yZD5DZW50aWxvaWQgc2NhbGU8L2tleXdvcmQ+PGtl
eXdvcmQ+UGl0dHNidXJnaCBjb21wb3VuZCBCPC9rZXl3b3JkPjxrZXl3b3JkPlBvc2l0cm9uIGVt
aXNzaW9uIHRvbW9ncmFwaHk8L2tleXdvcmQ+PGtleXdvcmQ+U3RhbmRhcmRpemU8L2tleXdvcmQ+
PC9rZXl3b3Jkcz48ZGF0ZXM+PHllYXI+MjAxNTwveWVhcj48cHViLWRhdGVzPjxkYXRlPkphbjwv
ZGF0ZT48L3B1Yi1kYXRlcz48L2RhdGVzPjxpc2JuPjE1NTItNTI3OSAoRWxlY3Ryb25pYykmI3hE
OzE1NTItNTI2MCAoTGlua2luZyk8L2lzYm4+PGFjY2Vzc2lvbi1udW0+MjU0NDM4NTc8L2FjY2Vz
c2lvbi1udW0+PHVybHM+PHJlbGF0ZWQtdXJscz48dXJsPmh0dHBzOi8vd3d3Lm5jYmkubmxtLm5p
aC5nb3YvcHVibWVkLzI1NDQzODU3PC91cmw+PC9yZWxhdGVkLXVybHM+PC91cmxzPjxjdXN0b20y
PlBNQzQzMDAyNDc8L2N1c3RvbTI+PGVsZWN0cm9uaWMtcmVzb3VyY2UtbnVtPjEwLjEwMTYvai5q
YWx6LjIwMTQuMDcuMDAzPC9lbGVjdHJvbmljLXJlc291cmNlLW51bT48L3JlY29yZD48L0NpdGU+
PC9FbmROb3RlPn==
</w:fldData>
        </w:fldChar>
      </w:r>
      <w:r w:rsidR="00F223E0" w:rsidRPr="00874ABA">
        <w:rPr>
          <w:rFonts w:cs="Arial"/>
          <w:szCs w:val="22"/>
        </w:rPr>
        <w:instrText xml:space="preserve"> ADDIN EN.CITE </w:instrText>
      </w:r>
      <w:r w:rsidR="00F223E0" w:rsidRPr="00874ABA">
        <w:rPr>
          <w:rFonts w:cs="Arial"/>
          <w:szCs w:val="22"/>
        </w:rPr>
        <w:fldChar w:fldCharType="begin">
          <w:fldData xml:space="preserve">PEVuZE5vdGU+PENpdGU+PEF1dGhvcj5LbHVuazwvQXV0aG9yPjxZZWFyPjIwMTU8L1llYXI+PFJl
Y051bT43MzwvUmVjTnVtPjxEaXNwbGF5VGV4dD48c3R5bGUgZmFjZT0ic3VwZXJzY3JpcHQiPjE8
L3N0eWxlPjwvRGlzcGxheVRleHQ+PHJlY29yZD48cmVjLW51bWJlcj43MzwvcmVjLW51bWJlcj48
Zm9yZWlnbi1rZXlzPjxrZXkgYXBwPSJFTiIgZGItaWQ9InJydnB2MDlzNXRhNXJ1ZWVyMjY1MmFy
ZWZwdjIwdmF0MmFhdCIgdGltZXN0YW1wPSIxNjI1NTA0MzUxIj43Mzwva2V5PjwvZm9yZWlnbi1r
ZXlzPjxyZWYtdHlwZSBuYW1lPSJKb3VybmFsIEFydGljbGUiPjE3PC9yZWYtdHlwZT48Y29udHJp
YnV0b3JzPjxhdXRob3JzPjxhdXRob3I+S2x1bmssIFcuIEUuPC9hdXRob3I+PGF1dGhvcj5Lb2Vw
cGUsIFIuIEEuPC9hdXRob3I+PGF1dGhvcj5QcmljZSwgSi4gQy48L2F1dGhvcj48YXV0aG9yPkJl
bnppbmdlciwgVC4gTC48L2F1dGhvcj48YXV0aG9yPkRldm91cywgTS4gRC4sIFNyLjwvYXV0aG9y
PjxhdXRob3I+SmFndXN0LCBXLiBKLjwvYXV0aG9yPjxhdXRob3I+Sm9obnNvbiwgSy4gQS48L2F1
dGhvcj48YXV0aG9yPk1hdGhpcywgQy4gQS48L2F1dGhvcj48YXV0aG9yPk1pbmhhcywgRC48L2F1
dGhvcj48YXV0aG9yPlBvbnRlY29ydm8sIE0uIEouPC9hdXRob3I+PGF1dGhvcj5Sb3dlLCBDLiBD
LjwvYXV0aG9yPjxhdXRob3I+U2tvdnJvbnNreSwgRC4gTS48L2F1dGhvcj48YXV0aG9yPk1pbnR1
biwgTS4gQS48L2F1dGhvcj48L2F1dGhvcnM+PC9jb250cmlidXRvcnM+PGF1dGgtYWRkcmVzcz5E
ZXBhcnRtZW50IG9mIFBzeWNoaWF0cnksIE1hc3NhY2h1c2V0dHMgR2VuZXJhbCBIb3NwaXRhbCwg
Qm9zdG9uLCBNQSwgVVNBOyBEZXBhcnRtZW50IG9mIE5ldXJvbG9neSwgVW5pdmVyc2l0eSBvZiBQ
aXR0c2J1cmdoLCBQaXR0c2J1cmdoLiBQQSwgVVNBLiBFbGVjdHJvbmljIGFkZHJlc3M6IGtsdW5r
d2VAdXBtYy5lZHUuJiN4RDtEZXBhcnRtZW50IG9mIFJhZGlvbG9neSwgVW5pdmVyc2l0eSBvZiBN
aWNoaWdhbiwgQW5uIEFyYm9yLCBNSSwgVVNBLiYjeEQ7RGVwYXJ0bWVudCBvZiBSYWRpb2xvZ3ks
IFVuaXZlcnNpdHkgb2YgUGl0dHNidXJnaCwgUGl0dHNidXJnaCwgUEEsIFVTQS4mI3hEO0RlcGFy
dG1lbnQgb2YgUmFkaW9sb2d5LCBNYXNzYWNodXNldHRzIEdlbmVyYWwgSG9zcGl0YWwsIEJvc3Rv
biwgTUEsIFVTQTsgRGVwYXJ0bWVudCBvZiBOZXVyb3N1cmdlcnksIFdhc2hpbmd0b24gVW5pdmVy
c2l0eSwgU2FpbnQgTG91aXMsIE1PLCBVU0EuJiN4RDtEZXBhcnRtZW50IG9mIE5ldXJvbG9neSwg
VVQgU291dGh3ZXN0ZXJuIE1lZGljYWwgQ2VudGVyLCBEYWxsYXMsIFRYLCBVU0E7IERlcGFydG1l
bnQgb2YgUmFkaW9sb2d5LCBVVCBTb3V0aHdlc3Rlcm4gTWVkaWNhbCBDZW50ZXIsIERhbGxhcywg
VFgsIFVTQS4mI3hEO0hlbGVuIFdpbGxzIE5ldXJvc2NpZW5jZSBJbnN0aXR1dGUsIFVuaXZlcnNp
dHkgb2YgQ2FsaWZvcm5pYSBCZXJrZWxleSwgQmVya2VsZXksIENBLCBVU0EuJiN4RDtEZXBhcnRt
ZW50IG9mIFJhZGlvbG9neSwgTWFzc2FjaHVzZXR0cyBHZW5lcmFsIEhvc3BpdGFsLCBCb3N0b24s
IE1BLCBVU0E7IERlcGFydG1lbnQgb2YgTmV1cm9sb2d5LCBNYXNzYWNodXNldHRzIEdlbmVyYWwg
SG9zcGl0YWwsIEJvc3RvbiwgTUEsIFVTQS4mI3hEO0RlcGFydG1lbnRzIG9mIFJhZGlvbG9neSwg
UGhhcm1hY29sb2d5IGFuZCBCaW9sb2dpY2FsIENoZW1pc3RyeSwgYW5kIFBoYXJtYWNldXRpY2Fs
IFNjaWVuY2VzLCBVbml2ZXJzaXR5IG9mIFBpdHRzYnVyZ2gsIFBpdHRzYnVyZ2gsIFBBLCBVU0Eu
JiN4RDtBdmlkIFJhZGlvcGhhcm1hY2V1dGljYWxzLCBQaGlsYWRlbHBoaWEsIFBBLCBVU0EuJiN4
RDtEZXBhcnRtZW50IG9mIE51Y2xlYXIgTWVkaWNpbmUgYW5kIENlbnRyZSBmb3IgUEVULCBBdXN0
aW4gSGVhbHRoLCBNZWxib3VybmUsIFZJQywgQXVzdHJhbGlhLjwvYXV0aC1hZGRyZXNzPjx0aXRs
ZXM+PHRpdGxlPlRoZSBDZW50aWxvaWQgUHJvamVjdDogc3RhbmRhcmRpemluZyBxdWFudGl0YXRp
dmUgYW15bG9pZCBwbGFxdWUgZXN0aW1hdGlvbiBieSBQRVQ8L3RpdGxlPjxzZWNvbmRhcnktdGl0
bGU+QWx6aGVpbWVycyBEZW1lbnQ8L3NlY29uZGFyeS10aXRsZT48L3RpdGxlcz48cGVyaW9kaWNh
bD48ZnVsbC10aXRsZT5BbHpoZWltZXJzIERlbWVudDwvZnVsbC10aXRsZT48L3BlcmlvZGljYWw+
PHBhZ2VzPjEtMTUgZTEtNDwvcGFnZXM+PHZvbHVtZT4xMTwvdm9sdW1lPjxudW1iZXI+MTwvbnVt
YmVyPjxlZGl0aW9uPjIwMTQvMTIvMDM8L2VkaXRpb24+PGtleXdvcmRzPjxrZXl3b3JkPkFnZWQ8
L2tleXdvcmQ+PGtleXdvcmQ+QWdlZCwgODAgYW5kIG92ZXI8L2tleXdvcmQ+PGtleXdvcmQ+QWx6
aGVpbWVyIERpc2Vhc2UvKmRpYWdub3N0aWMgaW1hZ2luZy9tZXRhYm9saXNtPC9rZXl3b3JkPjxr
ZXl3b3JkPkFteWxvaWQvbWV0YWJvbGlzbTwva2V5d29yZD48a2V5d29yZD5BbmlsaW5lIENvbXBv
dW5kczwva2V5d29yZD48a2V5d29yZD5CcmFpbi9kaWFnbm9zdGljIGltYWdpbmcvbWV0YWJvbGlz
bTwva2V5d29yZD48a2V5d29yZD5DYWxpYnJhdGlvbjwva2V5d29yZD48a2V5d29yZD5GbHVvcm9k
ZW94eWdsdWNvc2UgRjE4PC9rZXl3b3JkPjxrZXl3b3JkPkh1bWFuczwva2V5d29yZD48a2V5d29y
ZD5JbWFnZSBJbnRlcnByZXRhdGlvbiwgQ29tcHV0ZXItQXNzaXN0ZWQ8L2tleXdvcmQ+PGtleXdv
cmQ+TWlkZGxlIEFnZWQ8L2tleXdvcmQ+PGtleXdvcmQ+UGxhcXVlLCBBbXlsb2lkLypkaWFnbm9z
dGljIGltYWdpbmcvbWV0YWJvbGlzbTwva2V5d29yZD48a2V5d29yZD5Qb3NpdHJvbi1FbWlzc2lv
biBUb21vZ3JhcGh5LypzdGFuZGFyZHM8L2tleXdvcmQ+PGtleXdvcmQ+UmFkaW9waGFybWFjZXV0
aWNhbHM8L2tleXdvcmQ+PGtleXdvcmQ+VGhpYXpvbGVzPC9rZXl3b3JkPjxrZXl3b3JkPkFteWxv
aWQgaW1hZ2luZzwva2V5d29yZD48a2V5d29yZD5DZW50aWxvaWQgc2NhbGU8L2tleXdvcmQ+PGtl
eXdvcmQ+UGl0dHNidXJnaCBjb21wb3VuZCBCPC9rZXl3b3JkPjxrZXl3b3JkPlBvc2l0cm9uIGVt
aXNzaW9uIHRvbW9ncmFwaHk8L2tleXdvcmQ+PGtleXdvcmQ+U3RhbmRhcmRpemU8L2tleXdvcmQ+
PC9rZXl3b3Jkcz48ZGF0ZXM+PHllYXI+MjAxNTwveWVhcj48cHViLWRhdGVzPjxkYXRlPkphbjwv
ZGF0ZT48L3B1Yi1kYXRlcz48L2RhdGVzPjxpc2JuPjE1NTItNTI3OSAoRWxlY3Ryb25pYykmI3hE
OzE1NTItNTI2MCAoTGlua2luZyk8L2lzYm4+PGFjY2Vzc2lvbi1udW0+MjU0NDM4NTc8L2FjY2Vz
c2lvbi1udW0+PHVybHM+PHJlbGF0ZWQtdXJscz48dXJsPmh0dHBzOi8vd3d3Lm5jYmkubmxtLm5p
aC5nb3YvcHVibWVkLzI1NDQzODU3PC91cmw+PC9yZWxhdGVkLXVybHM+PC91cmxzPjxjdXN0b20y
PlBNQzQzMDAyNDc8L2N1c3RvbTI+PGVsZWN0cm9uaWMtcmVzb3VyY2UtbnVtPjEwLjEwMTYvai5q
YWx6LjIwMTQuMDcuMDAzPC9lbGVjdHJvbmljLXJlc291cmNlLW51bT48L3JlY29yZD48L0NpdGU+
PC9FbmROb3RlPn==
</w:fldData>
        </w:fldChar>
      </w:r>
      <w:r w:rsidR="00F223E0" w:rsidRPr="00874ABA">
        <w:rPr>
          <w:rFonts w:cs="Arial"/>
          <w:szCs w:val="22"/>
        </w:rPr>
        <w:instrText xml:space="preserve"> ADDIN EN.CITE.DATA </w:instrText>
      </w:r>
      <w:r w:rsidR="00F223E0" w:rsidRPr="00874ABA">
        <w:rPr>
          <w:rFonts w:cs="Arial"/>
          <w:szCs w:val="22"/>
        </w:rPr>
      </w:r>
      <w:r w:rsidR="00F223E0" w:rsidRPr="00874ABA">
        <w:rPr>
          <w:rFonts w:cs="Arial"/>
          <w:szCs w:val="22"/>
        </w:rPr>
        <w:fldChar w:fldCharType="end"/>
      </w:r>
      <w:r w:rsidRPr="00874ABA">
        <w:rPr>
          <w:rFonts w:cs="Arial"/>
          <w:szCs w:val="22"/>
        </w:rPr>
      </w:r>
      <w:r w:rsidRPr="00874ABA">
        <w:rPr>
          <w:rFonts w:cs="Arial"/>
          <w:szCs w:val="22"/>
        </w:rPr>
        <w:fldChar w:fldCharType="separate"/>
      </w:r>
      <w:r w:rsidR="00F223E0" w:rsidRPr="00874ABA">
        <w:rPr>
          <w:rFonts w:cs="Arial"/>
          <w:noProof/>
          <w:szCs w:val="22"/>
          <w:vertAlign w:val="superscript"/>
        </w:rPr>
        <w:t>1</w:t>
      </w:r>
      <w:r w:rsidRPr="00874ABA">
        <w:rPr>
          <w:rFonts w:cs="Arial"/>
          <w:szCs w:val="22"/>
        </w:rPr>
        <w:fldChar w:fldCharType="end"/>
      </w:r>
    </w:p>
    <w:p w14:paraId="5674CD8F" w14:textId="77777777" w:rsidR="00085070" w:rsidRPr="00874ABA" w:rsidRDefault="00085070" w:rsidP="00085070">
      <w:pPr>
        <w:pStyle w:val="Bulletlevel4"/>
        <w:numPr>
          <w:ilvl w:val="0"/>
          <w:numId w:val="0"/>
        </w:numPr>
        <w:rPr>
          <w:rFonts w:eastAsiaTheme="minorHAnsi" w:cs="Arial"/>
          <w:sz w:val="24"/>
          <w:szCs w:val="24"/>
          <w:lang w:val="en-US"/>
        </w:rPr>
      </w:pPr>
    </w:p>
    <w:p w14:paraId="59FEC31C" w14:textId="77777777" w:rsidR="00085070" w:rsidRPr="00874ABA" w:rsidRDefault="00085070" w:rsidP="00085070">
      <w:pPr>
        <w:pStyle w:val="Bulletlevel4"/>
        <w:numPr>
          <w:ilvl w:val="0"/>
          <w:numId w:val="0"/>
        </w:numPr>
        <w:rPr>
          <w:rFonts w:eastAsiaTheme="minorHAnsi" w:cs="Arial"/>
          <w:b/>
          <w:bCs/>
          <w:sz w:val="24"/>
          <w:szCs w:val="24"/>
          <w:lang w:val="en-US"/>
        </w:rPr>
      </w:pPr>
      <w:r w:rsidRPr="00874ABA">
        <w:rPr>
          <w:rFonts w:eastAsiaTheme="minorHAnsi" w:cs="Arial"/>
          <w:b/>
          <w:bCs/>
          <w:sz w:val="24"/>
          <w:szCs w:val="24"/>
          <w:lang w:val="en-US"/>
        </w:rPr>
        <w:t>Tau PET sub-study analysis</w:t>
      </w:r>
    </w:p>
    <w:p w14:paraId="1D8FF30C" w14:textId="4B09F4FE" w:rsidR="00085070" w:rsidRPr="00874ABA" w:rsidRDefault="00085070" w:rsidP="00085070">
      <w:pPr>
        <w:pStyle w:val="Text"/>
        <w:rPr>
          <w:rFonts w:cs="Arial"/>
          <w:sz w:val="24"/>
          <w:szCs w:val="22"/>
        </w:rPr>
      </w:pPr>
      <w:r w:rsidRPr="00874ABA">
        <w:rPr>
          <w:rFonts w:cs="Arial"/>
          <w:sz w:val="24"/>
          <w:szCs w:val="22"/>
        </w:rPr>
        <w:lastRenderedPageBreak/>
        <w:t>All the available post-baseline tau PET assessments will be used as one single post-baseline timepoint for analysis purpose. Six composite regions of interests (frontal, temporal, medial temporal, parietal, cingulate and occipital) normalized to cerebellar cortex served as summary measures of regional tau levels. The baseline and change from baseline values will be summarized by treatment groups (placebo, low</w:t>
      </w:r>
      <w:r w:rsidR="00A91DFA">
        <w:rPr>
          <w:rFonts w:cs="Arial"/>
          <w:sz w:val="24"/>
          <w:szCs w:val="22"/>
        </w:rPr>
        <w:t xml:space="preserve"> </w:t>
      </w:r>
      <w:proofErr w:type="gramStart"/>
      <w:r w:rsidRPr="00874ABA">
        <w:rPr>
          <w:rFonts w:cs="Arial"/>
          <w:sz w:val="24"/>
          <w:szCs w:val="22"/>
        </w:rPr>
        <w:t>dose</w:t>
      </w:r>
      <w:proofErr w:type="gramEnd"/>
      <w:r w:rsidRPr="00874ABA">
        <w:rPr>
          <w:rFonts w:cs="Arial"/>
          <w:sz w:val="24"/>
          <w:szCs w:val="22"/>
        </w:rPr>
        <w:t xml:space="preserve"> and high</w:t>
      </w:r>
      <w:r w:rsidR="00A91DFA">
        <w:rPr>
          <w:rFonts w:cs="Arial"/>
          <w:sz w:val="24"/>
          <w:szCs w:val="22"/>
        </w:rPr>
        <w:t xml:space="preserve"> </w:t>
      </w:r>
      <w:r w:rsidRPr="00874ABA">
        <w:rPr>
          <w:rFonts w:cs="Arial"/>
          <w:sz w:val="24"/>
          <w:szCs w:val="22"/>
        </w:rPr>
        <w:t>dose) for each of the 6 composite regions at baseline and at post-baseline timepoint. An ANCOVA model will be used to analyze change from baseline value for each composite region at post-baseline timepoint. The model will include treatment groups (placebo, low</w:t>
      </w:r>
      <w:r w:rsidR="00A91DFA">
        <w:rPr>
          <w:rFonts w:cs="Arial"/>
          <w:sz w:val="24"/>
          <w:szCs w:val="22"/>
        </w:rPr>
        <w:t xml:space="preserve"> </w:t>
      </w:r>
      <w:proofErr w:type="gramStart"/>
      <w:r w:rsidRPr="00874ABA">
        <w:rPr>
          <w:rFonts w:cs="Arial"/>
          <w:sz w:val="24"/>
          <w:szCs w:val="22"/>
        </w:rPr>
        <w:t>dose</w:t>
      </w:r>
      <w:proofErr w:type="gramEnd"/>
      <w:r w:rsidRPr="00874ABA">
        <w:rPr>
          <w:rFonts w:cs="Arial"/>
          <w:sz w:val="24"/>
          <w:szCs w:val="22"/>
        </w:rPr>
        <w:t xml:space="preserve"> and high</w:t>
      </w:r>
      <w:r w:rsidR="00A91DFA">
        <w:rPr>
          <w:rFonts w:cs="Arial"/>
          <w:sz w:val="24"/>
          <w:szCs w:val="22"/>
        </w:rPr>
        <w:t xml:space="preserve"> </w:t>
      </w:r>
      <w:r w:rsidRPr="00874ABA">
        <w:rPr>
          <w:rFonts w:cs="Arial"/>
          <w:sz w:val="24"/>
          <w:szCs w:val="22"/>
        </w:rPr>
        <w:t xml:space="preserve">dose), baseline SUVR value (continuous) and laboratory ApoE ε4 status (carrier and noncarrier) as covariates. Adjusted means for each treatment group, pairwise adjusted differences with placebo, 95% confidence intervals for the differences and associated p-values will be presented at post-baseline timepoint. </w:t>
      </w:r>
    </w:p>
    <w:p w14:paraId="366BE016" w14:textId="77777777" w:rsidR="00085070" w:rsidRPr="00874ABA" w:rsidRDefault="00085070" w:rsidP="00085070">
      <w:pPr>
        <w:pStyle w:val="Bulletlevel4"/>
        <w:numPr>
          <w:ilvl w:val="0"/>
          <w:numId w:val="0"/>
        </w:numPr>
        <w:rPr>
          <w:rFonts w:eastAsiaTheme="minorHAnsi" w:cs="Arial"/>
          <w:sz w:val="24"/>
          <w:szCs w:val="24"/>
          <w:lang w:val="en-US"/>
        </w:rPr>
      </w:pPr>
    </w:p>
    <w:p w14:paraId="638085D4" w14:textId="77777777" w:rsidR="00085070" w:rsidRPr="00874ABA" w:rsidRDefault="00085070" w:rsidP="00085070">
      <w:pPr>
        <w:pStyle w:val="Bulletlevel4"/>
        <w:numPr>
          <w:ilvl w:val="0"/>
          <w:numId w:val="0"/>
        </w:numPr>
        <w:rPr>
          <w:rFonts w:eastAsiaTheme="minorHAnsi" w:cs="Arial"/>
          <w:b/>
          <w:bCs/>
          <w:sz w:val="24"/>
          <w:szCs w:val="24"/>
          <w:lang w:val="en-US"/>
        </w:rPr>
      </w:pPr>
      <w:r w:rsidRPr="00874ABA">
        <w:rPr>
          <w:rFonts w:eastAsiaTheme="minorHAnsi" w:cs="Arial"/>
          <w:b/>
          <w:bCs/>
          <w:sz w:val="24"/>
          <w:szCs w:val="24"/>
          <w:lang w:val="en-US"/>
        </w:rPr>
        <w:t>CSF sub-study analysis</w:t>
      </w:r>
    </w:p>
    <w:p w14:paraId="549B0E0D" w14:textId="11B1E2F4" w:rsidR="00085070" w:rsidRPr="00874ABA" w:rsidRDefault="00085070" w:rsidP="00085070">
      <w:pPr>
        <w:pStyle w:val="Text"/>
        <w:rPr>
          <w:rFonts w:cs="Arial"/>
          <w:sz w:val="24"/>
          <w:szCs w:val="22"/>
        </w:rPr>
      </w:pPr>
      <w:r w:rsidRPr="00874ABA">
        <w:rPr>
          <w:rFonts w:cs="Arial"/>
          <w:sz w:val="24"/>
          <w:szCs w:val="22"/>
        </w:rPr>
        <w:t>The baseline and change from baseline values will be summarized by treatment groups (placebo, low-</w:t>
      </w:r>
      <w:proofErr w:type="gramStart"/>
      <w:r w:rsidRPr="00874ABA">
        <w:rPr>
          <w:rFonts w:cs="Arial"/>
          <w:sz w:val="24"/>
          <w:szCs w:val="22"/>
        </w:rPr>
        <w:t>dose</w:t>
      </w:r>
      <w:proofErr w:type="gramEnd"/>
      <w:r w:rsidRPr="00874ABA">
        <w:rPr>
          <w:rFonts w:cs="Arial"/>
          <w:sz w:val="24"/>
          <w:szCs w:val="22"/>
        </w:rPr>
        <w:t xml:space="preserve"> and high</w:t>
      </w:r>
      <w:r w:rsidR="00A91DFA">
        <w:rPr>
          <w:rFonts w:cs="Arial"/>
          <w:sz w:val="24"/>
          <w:szCs w:val="22"/>
        </w:rPr>
        <w:t xml:space="preserve"> </w:t>
      </w:r>
      <w:r w:rsidRPr="00874ABA">
        <w:rPr>
          <w:rFonts w:cs="Arial"/>
          <w:sz w:val="24"/>
          <w:szCs w:val="22"/>
        </w:rPr>
        <w:t>dose) for each CSF biomarker at baseline and week 78. An ANCOVA model will be used to analyze change from baseline value for each CSF biomarker at week 78. The model will include treatment groups (placebo, low</w:t>
      </w:r>
      <w:r w:rsidR="001B6909">
        <w:rPr>
          <w:rFonts w:cs="Arial"/>
          <w:sz w:val="24"/>
          <w:szCs w:val="22"/>
        </w:rPr>
        <w:t xml:space="preserve"> </w:t>
      </w:r>
      <w:r w:rsidRPr="00874ABA">
        <w:rPr>
          <w:rFonts w:cs="Arial"/>
          <w:sz w:val="24"/>
          <w:szCs w:val="22"/>
        </w:rPr>
        <w:t>dose and high</w:t>
      </w:r>
      <w:r w:rsidR="00A91DFA">
        <w:rPr>
          <w:rFonts w:cs="Arial"/>
          <w:sz w:val="24"/>
          <w:szCs w:val="22"/>
        </w:rPr>
        <w:t xml:space="preserve"> </w:t>
      </w:r>
      <w:r w:rsidRPr="00874ABA">
        <w:rPr>
          <w:rFonts w:cs="Arial"/>
          <w:sz w:val="24"/>
          <w:szCs w:val="22"/>
        </w:rPr>
        <w:t xml:space="preserve">dose), baseline biomarker </w:t>
      </w:r>
      <w:proofErr w:type="gramStart"/>
      <w:r w:rsidRPr="00874ABA">
        <w:rPr>
          <w:rFonts w:cs="Arial"/>
          <w:sz w:val="24"/>
          <w:szCs w:val="22"/>
        </w:rPr>
        <w:t xml:space="preserve">value </w:t>
      </w:r>
      <w:r w:rsidR="00A91DFA">
        <w:rPr>
          <w:rFonts w:cs="Arial"/>
          <w:sz w:val="24"/>
          <w:szCs w:val="22"/>
        </w:rPr>
        <w:t xml:space="preserve"> </w:t>
      </w:r>
      <w:r w:rsidRPr="00874ABA">
        <w:rPr>
          <w:rFonts w:cs="Arial"/>
          <w:sz w:val="24"/>
          <w:szCs w:val="22"/>
        </w:rPr>
        <w:t>(</w:t>
      </w:r>
      <w:proofErr w:type="gramEnd"/>
      <w:r w:rsidRPr="00874ABA">
        <w:rPr>
          <w:rFonts w:cs="Arial"/>
          <w:sz w:val="24"/>
          <w:szCs w:val="22"/>
        </w:rPr>
        <w:t xml:space="preserve">continuous), laboratory ApoE ε4 status (carrier and noncarrier) and baseline age as covariates. Adjusted means for each treatment group, pairwise adjusted differences with placebo, 95% confidence intervals for the differences and associated p-values will be presented at week 78. </w:t>
      </w:r>
    </w:p>
    <w:p w14:paraId="5B76E21C" w14:textId="77777777" w:rsidR="00085070" w:rsidRPr="00874ABA" w:rsidRDefault="00085070" w:rsidP="00085070">
      <w:pPr>
        <w:spacing w:after="160"/>
        <w:rPr>
          <w:rFonts w:cs="Arial"/>
          <w:b/>
          <w:sz w:val="28"/>
          <w:szCs w:val="24"/>
        </w:rPr>
      </w:pPr>
      <w:r w:rsidRPr="00874ABA">
        <w:rPr>
          <w:rFonts w:cs="Arial"/>
          <w:b/>
          <w:sz w:val="28"/>
          <w:szCs w:val="24"/>
        </w:rPr>
        <w:br w:type="page"/>
      </w:r>
    </w:p>
    <w:p w14:paraId="7ACD40C2" w14:textId="57ECFD66" w:rsidR="00085070" w:rsidRPr="00874ABA" w:rsidRDefault="00085070" w:rsidP="00085070">
      <w:pPr>
        <w:spacing w:after="160" w:line="259" w:lineRule="auto"/>
        <w:rPr>
          <w:rFonts w:cs="Arial"/>
          <w:b/>
          <w:sz w:val="28"/>
          <w:szCs w:val="24"/>
        </w:rPr>
      </w:pPr>
      <w:r w:rsidRPr="00874ABA">
        <w:rPr>
          <w:rFonts w:cs="Arial"/>
          <w:b/>
          <w:sz w:val="28"/>
          <w:szCs w:val="24"/>
        </w:rPr>
        <w:lastRenderedPageBreak/>
        <w:t xml:space="preserve">Supplement </w:t>
      </w:r>
      <w:r w:rsidR="0067353B" w:rsidRPr="00874ABA">
        <w:rPr>
          <w:rFonts w:cs="Arial"/>
          <w:b/>
          <w:sz w:val="28"/>
          <w:szCs w:val="24"/>
        </w:rPr>
        <w:t>4</w:t>
      </w:r>
    </w:p>
    <w:p w14:paraId="2F3A4498" w14:textId="5399BB50" w:rsidR="00085070" w:rsidRPr="00874ABA" w:rsidRDefault="00085070" w:rsidP="00085070">
      <w:pPr>
        <w:pStyle w:val="Bulletlevel4"/>
        <w:numPr>
          <w:ilvl w:val="0"/>
          <w:numId w:val="0"/>
        </w:numPr>
        <w:rPr>
          <w:rFonts w:eastAsiaTheme="minorHAnsi" w:cs="Arial"/>
          <w:b/>
          <w:bCs/>
          <w:sz w:val="24"/>
          <w:szCs w:val="24"/>
          <w:lang w:val="en-US"/>
        </w:rPr>
      </w:pPr>
      <w:r w:rsidRPr="00874ABA">
        <w:rPr>
          <w:rFonts w:eastAsiaTheme="minorHAnsi" w:cs="Arial"/>
          <w:b/>
          <w:bCs/>
          <w:sz w:val="24"/>
          <w:szCs w:val="24"/>
          <w:lang w:val="en-US"/>
        </w:rPr>
        <w:t>Sensitivity analyses of primary efficacy endpoint</w:t>
      </w:r>
    </w:p>
    <w:p w14:paraId="69664745" w14:textId="77777777" w:rsidR="00085070" w:rsidRPr="00874ABA" w:rsidRDefault="00085070" w:rsidP="00085070">
      <w:pPr>
        <w:pStyle w:val="Bulletlevel4"/>
        <w:numPr>
          <w:ilvl w:val="0"/>
          <w:numId w:val="0"/>
        </w:numPr>
        <w:rPr>
          <w:rFonts w:eastAsiaTheme="minorHAnsi" w:cs="Arial"/>
          <w:b/>
          <w:bCs/>
          <w:sz w:val="24"/>
          <w:szCs w:val="24"/>
          <w:lang w:val="en-US"/>
        </w:rPr>
      </w:pPr>
    </w:p>
    <w:p w14:paraId="13C909EC" w14:textId="64AD89F6" w:rsidR="00085070" w:rsidRPr="00874ABA" w:rsidRDefault="00085070" w:rsidP="00085070">
      <w:pPr>
        <w:pStyle w:val="Bulletlevel4"/>
        <w:numPr>
          <w:ilvl w:val="0"/>
          <w:numId w:val="0"/>
        </w:numPr>
        <w:rPr>
          <w:rFonts w:eastAsiaTheme="minorHAnsi" w:cs="Arial"/>
          <w:sz w:val="24"/>
          <w:szCs w:val="24"/>
          <w:lang w:val="en-US"/>
        </w:rPr>
      </w:pPr>
      <w:r w:rsidRPr="00874ABA">
        <w:rPr>
          <w:rFonts w:eastAsiaTheme="minorHAnsi" w:cs="Arial"/>
          <w:sz w:val="24"/>
          <w:szCs w:val="24"/>
          <w:lang w:val="en-US"/>
        </w:rPr>
        <w:t>Sensitivity analyses assessed the robustness of the treatment effect to early treatment discontinuation, the use of or changes in Alzheimer</w:t>
      </w:r>
      <w:r w:rsidR="00F53B9B" w:rsidRPr="00874ABA">
        <w:rPr>
          <w:lang w:val="en-US"/>
        </w:rPr>
        <w:t>’s</w:t>
      </w:r>
      <w:r w:rsidRPr="00874ABA">
        <w:rPr>
          <w:rFonts w:eastAsiaTheme="minorHAnsi" w:cs="Arial"/>
          <w:sz w:val="24"/>
          <w:szCs w:val="24"/>
          <w:lang w:val="en-US"/>
        </w:rPr>
        <w:t xml:space="preserve"> disease symptomatic medications, and different assumptions for missing data. Several sensitivity analyses were prespecified, as listed below. The jump to reference analysis was not prespecified but was conducted given that this method is a most conservative assessment of missing data. In these sensitivity analyses, results for the high dose are consistent with the primary analysis:</w:t>
      </w:r>
    </w:p>
    <w:p w14:paraId="228E4CC5" w14:textId="77777777" w:rsidR="00085070" w:rsidRPr="00874ABA" w:rsidRDefault="00085070" w:rsidP="00085070">
      <w:pPr>
        <w:pStyle w:val="Bulletlevel4"/>
        <w:numPr>
          <w:ilvl w:val="0"/>
          <w:numId w:val="0"/>
        </w:numPr>
        <w:rPr>
          <w:rFonts w:eastAsiaTheme="minorHAnsi" w:cs="Arial"/>
          <w:sz w:val="24"/>
          <w:szCs w:val="24"/>
          <w:lang w:val="en-US"/>
        </w:rPr>
      </w:pPr>
    </w:p>
    <w:p w14:paraId="4823F795" w14:textId="63FCDB22" w:rsidR="00085070" w:rsidRPr="00874ABA" w:rsidRDefault="00085070" w:rsidP="00071479">
      <w:pPr>
        <w:pStyle w:val="Bulletlevel4"/>
        <w:numPr>
          <w:ilvl w:val="0"/>
          <w:numId w:val="17"/>
        </w:numPr>
        <w:rPr>
          <w:rFonts w:eastAsiaTheme="minorHAnsi" w:cs="Arial"/>
          <w:sz w:val="24"/>
          <w:szCs w:val="24"/>
          <w:lang w:val="en-US"/>
        </w:rPr>
      </w:pPr>
      <w:r w:rsidRPr="00874ABA">
        <w:rPr>
          <w:rFonts w:eastAsiaTheme="minorHAnsi" w:cs="Arial"/>
          <w:sz w:val="24"/>
          <w:szCs w:val="24"/>
          <w:lang w:val="en-US"/>
        </w:rPr>
        <w:t xml:space="preserve">Censoring after intercurrent events: </w:t>
      </w:r>
      <w:r w:rsidR="00045AA3" w:rsidRPr="00874ABA">
        <w:rPr>
          <w:rFonts w:eastAsiaTheme="minorHAnsi" w:cs="Arial"/>
          <w:sz w:val="24"/>
          <w:szCs w:val="24"/>
          <w:lang w:val="en-US"/>
        </w:rPr>
        <w:t>e</w:t>
      </w:r>
      <w:r w:rsidRPr="00874ABA">
        <w:rPr>
          <w:rFonts w:eastAsiaTheme="minorHAnsi" w:cs="Arial"/>
          <w:sz w:val="24"/>
          <w:szCs w:val="24"/>
          <w:lang w:val="en-US"/>
        </w:rPr>
        <w:t>xcluding data after intercurrent events (i</w:t>
      </w:r>
      <w:r w:rsidR="00FD2020" w:rsidRPr="00874ABA">
        <w:rPr>
          <w:rFonts w:eastAsiaTheme="minorHAnsi" w:cs="Arial"/>
          <w:sz w:val="24"/>
          <w:szCs w:val="24"/>
          <w:lang w:val="en-US"/>
        </w:rPr>
        <w:t>.</w:t>
      </w:r>
      <w:r w:rsidRPr="00874ABA">
        <w:rPr>
          <w:rFonts w:eastAsiaTheme="minorHAnsi" w:cs="Arial"/>
          <w:sz w:val="24"/>
          <w:szCs w:val="24"/>
          <w:lang w:val="en-US"/>
        </w:rPr>
        <w:t>e</w:t>
      </w:r>
      <w:r w:rsidR="00FD2020" w:rsidRPr="00874ABA">
        <w:rPr>
          <w:rFonts w:eastAsiaTheme="minorHAnsi" w:cs="Arial"/>
          <w:sz w:val="24"/>
          <w:szCs w:val="24"/>
          <w:lang w:val="en-US"/>
        </w:rPr>
        <w:t>.</w:t>
      </w:r>
      <w:r w:rsidRPr="00874ABA">
        <w:rPr>
          <w:rFonts w:eastAsiaTheme="minorHAnsi" w:cs="Arial"/>
          <w:sz w:val="24"/>
          <w:szCs w:val="24"/>
          <w:lang w:val="en-US"/>
        </w:rPr>
        <w:t>, after early withdrawal or change in concomitant medications) estimates the result expected if all participants adhered to their randomized treatment.</w:t>
      </w:r>
    </w:p>
    <w:p w14:paraId="26DDFD0D" w14:textId="77777777" w:rsidR="00085070" w:rsidRPr="00874ABA" w:rsidRDefault="00085070" w:rsidP="00085070">
      <w:pPr>
        <w:pStyle w:val="Bulletlevel4"/>
        <w:numPr>
          <w:ilvl w:val="0"/>
          <w:numId w:val="0"/>
        </w:numPr>
        <w:rPr>
          <w:rFonts w:eastAsiaTheme="minorHAnsi" w:cs="Arial"/>
          <w:sz w:val="24"/>
          <w:szCs w:val="24"/>
          <w:lang w:val="en-US"/>
        </w:rPr>
      </w:pPr>
    </w:p>
    <w:p w14:paraId="77C16B3F" w14:textId="0A136C27" w:rsidR="00895434" w:rsidRDefault="00895434" w:rsidP="00071479">
      <w:pPr>
        <w:pStyle w:val="Bulletlevel4"/>
        <w:numPr>
          <w:ilvl w:val="0"/>
          <w:numId w:val="17"/>
        </w:numPr>
        <w:rPr>
          <w:rFonts w:eastAsiaTheme="minorHAnsi" w:cs="Arial"/>
          <w:sz w:val="24"/>
          <w:szCs w:val="24"/>
          <w:lang w:val="en-US"/>
        </w:rPr>
      </w:pPr>
      <w:r>
        <w:rPr>
          <w:rFonts w:eastAsiaTheme="minorHAnsi" w:cs="Arial"/>
          <w:sz w:val="24"/>
          <w:szCs w:val="24"/>
          <w:lang w:val="en-US"/>
        </w:rPr>
        <w:t xml:space="preserve">Pattern mixture model: </w:t>
      </w:r>
      <w:r w:rsidR="00092BE3">
        <w:rPr>
          <w:rFonts w:eastAsiaTheme="minorHAnsi" w:cs="Arial"/>
          <w:sz w:val="24"/>
          <w:szCs w:val="24"/>
          <w:lang w:val="en-US"/>
        </w:rPr>
        <w:t xml:space="preserve">this approach was </w:t>
      </w:r>
      <w:r w:rsidR="00B61D2F">
        <w:rPr>
          <w:rFonts w:eastAsiaTheme="minorHAnsi" w:cs="Arial"/>
          <w:sz w:val="24"/>
          <w:szCs w:val="24"/>
          <w:lang w:val="en-US"/>
        </w:rPr>
        <w:t>used to model the predictive distribution of missing data conditional on the observed data</w:t>
      </w:r>
      <w:r w:rsidR="00045DFD" w:rsidRPr="00045DFD">
        <w:rPr>
          <w:rFonts w:eastAsiaTheme="minorHAnsi" w:cs="Arial"/>
          <w:sz w:val="24"/>
          <w:szCs w:val="24"/>
          <w:lang w:val="en-US"/>
        </w:rPr>
        <w:t>.</w:t>
      </w:r>
      <w:r w:rsidR="00277AC4" w:rsidRPr="00277AC4">
        <w:t xml:space="preserve"> </w:t>
      </w:r>
      <w:r w:rsidR="00277AC4" w:rsidRPr="00277AC4">
        <w:rPr>
          <w:rFonts w:eastAsiaTheme="minorHAnsi" w:cs="Arial"/>
          <w:sz w:val="24"/>
          <w:szCs w:val="24"/>
          <w:lang w:val="en-US"/>
        </w:rPr>
        <w:t xml:space="preserve">Participants who withdrew due to reasons related to efficacy were penalized and their missing data were imputed using the </w:t>
      </w:r>
      <w:r w:rsidR="00694F73">
        <w:rPr>
          <w:rFonts w:eastAsiaTheme="minorHAnsi" w:cs="Arial"/>
          <w:sz w:val="24"/>
          <w:szCs w:val="24"/>
          <w:lang w:val="en-US"/>
        </w:rPr>
        <w:t>copy increment from reference</w:t>
      </w:r>
      <w:r w:rsidR="00277AC4" w:rsidRPr="00277AC4">
        <w:rPr>
          <w:rFonts w:eastAsiaTheme="minorHAnsi" w:cs="Arial"/>
          <w:sz w:val="24"/>
          <w:szCs w:val="24"/>
          <w:lang w:val="en-US"/>
        </w:rPr>
        <w:t xml:space="preserve"> method. </w:t>
      </w:r>
      <w:r w:rsidR="00E6356C">
        <w:rPr>
          <w:rFonts w:eastAsiaTheme="minorHAnsi" w:cs="Arial"/>
          <w:sz w:val="24"/>
          <w:szCs w:val="24"/>
          <w:lang w:val="en-US"/>
        </w:rPr>
        <w:t>D</w:t>
      </w:r>
      <w:r w:rsidR="00B16B29">
        <w:rPr>
          <w:rFonts w:eastAsiaTheme="minorHAnsi" w:cs="Arial"/>
          <w:sz w:val="24"/>
          <w:szCs w:val="24"/>
          <w:lang w:val="en-US"/>
        </w:rPr>
        <w:t>ata from p</w:t>
      </w:r>
      <w:r w:rsidR="00277AC4" w:rsidRPr="00277AC4">
        <w:rPr>
          <w:rFonts w:eastAsiaTheme="minorHAnsi" w:cs="Arial"/>
          <w:sz w:val="24"/>
          <w:szCs w:val="24"/>
          <w:lang w:val="en-US"/>
        </w:rPr>
        <w:t>articipants who withdrew due to reasons</w:t>
      </w:r>
      <w:r w:rsidR="003F3C7C">
        <w:rPr>
          <w:rFonts w:eastAsiaTheme="minorHAnsi" w:cs="Arial"/>
          <w:sz w:val="24"/>
          <w:szCs w:val="24"/>
          <w:lang w:val="en-US"/>
        </w:rPr>
        <w:t xml:space="preserve"> not </w:t>
      </w:r>
      <w:r w:rsidR="00277AC4" w:rsidRPr="00277AC4">
        <w:rPr>
          <w:rFonts w:eastAsiaTheme="minorHAnsi" w:cs="Arial"/>
          <w:sz w:val="24"/>
          <w:szCs w:val="24"/>
          <w:lang w:val="en-US"/>
        </w:rPr>
        <w:t xml:space="preserve">related to efficacy </w:t>
      </w:r>
      <w:r w:rsidR="00E6356C">
        <w:rPr>
          <w:rFonts w:eastAsiaTheme="minorHAnsi" w:cs="Arial"/>
          <w:sz w:val="24"/>
          <w:szCs w:val="24"/>
          <w:lang w:val="en-US"/>
        </w:rPr>
        <w:t xml:space="preserve">or </w:t>
      </w:r>
      <w:r w:rsidR="00277AC4" w:rsidRPr="00277AC4">
        <w:rPr>
          <w:rFonts w:eastAsiaTheme="minorHAnsi" w:cs="Arial"/>
          <w:sz w:val="24"/>
          <w:szCs w:val="24"/>
          <w:lang w:val="en-US"/>
        </w:rPr>
        <w:t>who stopped the study due to the termination of the studies</w:t>
      </w:r>
      <w:r w:rsidR="00B16B29">
        <w:rPr>
          <w:rFonts w:eastAsiaTheme="minorHAnsi" w:cs="Arial"/>
          <w:sz w:val="24"/>
          <w:szCs w:val="24"/>
          <w:lang w:val="en-US"/>
        </w:rPr>
        <w:t xml:space="preserve"> </w:t>
      </w:r>
      <w:r w:rsidR="00277AC4" w:rsidRPr="00277AC4">
        <w:rPr>
          <w:rFonts w:eastAsiaTheme="minorHAnsi" w:cs="Arial"/>
          <w:sz w:val="24"/>
          <w:szCs w:val="24"/>
          <w:lang w:val="en-US"/>
        </w:rPr>
        <w:t xml:space="preserve">were assumed to be </w:t>
      </w:r>
      <w:r w:rsidR="00E6356C">
        <w:rPr>
          <w:rFonts w:eastAsiaTheme="minorHAnsi" w:cs="Arial"/>
          <w:sz w:val="24"/>
          <w:szCs w:val="24"/>
          <w:lang w:val="en-US"/>
        </w:rPr>
        <w:t xml:space="preserve">missing at random. </w:t>
      </w:r>
    </w:p>
    <w:p w14:paraId="523C53FC" w14:textId="77777777" w:rsidR="00895434" w:rsidRDefault="00895434" w:rsidP="00895434">
      <w:pPr>
        <w:pStyle w:val="ListParagraph"/>
        <w:rPr>
          <w:rFonts w:cs="Arial"/>
          <w:sz w:val="24"/>
          <w:szCs w:val="24"/>
        </w:rPr>
      </w:pPr>
    </w:p>
    <w:p w14:paraId="2D41A11C" w14:textId="100054C9" w:rsidR="00085070" w:rsidRPr="00874ABA" w:rsidRDefault="00085070" w:rsidP="00071479">
      <w:pPr>
        <w:pStyle w:val="Bulletlevel4"/>
        <w:numPr>
          <w:ilvl w:val="0"/>
          <w:numId w:val="17"/>
        </w:numPr>
        <w:rPr>
          <w:rFonts w:eastAsiaTheme="minorHAnsi" w:cs="Arial"/>
          <w:sz w:val="24"/>
          <w:szCs w:val="24"/>
          <w:lang w:val="en-US"/>
        </w:rPr>
      </w:pPr>
      <w:r w:rsidRPr="00874ABA">
        <w:rPr>
          <w:rFonts w:eastAsiaTheme="minorHAnsi" w:cs="Arial"/>
          <w:sz w:val="24"/>
          <w:szCs w:val="24"/>
          <w:lang w:val="en-US"/>
        </w:rPr>
        <w:t xml:space="preserve">Copy increment from reference: </w:t>
      </w:r>
      <w:r w:rsidR="00045AA3" w:rsidRPr="00874ABA">
        <w:rPr>
          <w:rFonts w:eastAsiaTheme="minorHAnsi" w:cs="Arial"/>
          <w:sz w:val="24"/>
          <w:szCs w:val="24"/>
          <w:lang w:val="en-US"/>
        </w:rPr>
        <w:t>t</w:t>
      </w:r>
      <w:r w:rsidRPr="00874ABA">
        <w:rPr>
          <w:rFonts w:eastAsiaTheme="minorHAnsi" w:cs="Arial"/>
          <w:sz w:val="24"/>
          <w:szCs w:val="24"/>
          <w:lang w:val="en-US"/>
        </w:rPr>
        <w:t xml:space="preserve">his approach was prespecified to estimate what would have happened if participants who prematurely withdrew from the study and a similar proportion of those ongoing participants who could have withdrawn prematurely if the study had not been terminated (i.e., a total of 12% of the </w:t>
      </w:r>
      <w:r w:rsidR="00045AA3" w:rsidRPr="00874ABA">
        <w:rPr>
          <w:rFonts w:eastAsiaTheme="minorHAnsi" w:cs="Arial"/>
          <w:sz w:val="24"/>
          <w:szCs w:val="24"/>
          <w:lang w:val="en-US"/>
        </w:rPr>
        <w:t>intent-to treat [ITT]</w:t>
      </w:r>
      <w:r w:rsidR="005F3ABC" w:rsidRPr="00874ABA">
        <w:rPr>
          <w:rFonts w:eastAsiaTheme="minorHAnsi" w:cs="Arial"/>
          <w:sz w:val="24"/>
          <w:szCs w:val="24"/>
          <w:lang w:val="en-US"/>
        </w:rPr>
        <w:t xml:space="preserve"> </w:t>
      </w:r>
      <w:r w:rsidRPr="00874ABA">
        <w:rPr>
          <w:rFonts w:eastAsiaTheme="minorHAnsi" w:cs="Arial"/>
          <w:sz w:val="24"/>
          <w:szCs w:val="24"/>
          <w:lang w:val="en-US"/>
        </w:rPr>
        <w:t>population) retained the benefit gained from their prior treatment but progressed as if they were on placebo after withdrawal.</w:t>
      </w:r>
    </w:p>
    <w:p w14:paraId="49CE6A4A" w14:textId="77777777" w:rsidR="00085070" w:rsidRPr="00874ABA" w:rsidRDefault="00085070" w:rsidP="00085070">
      <w:pPr>
        <w:pStyle w:val="Bulletlevel4"/>
        <w:numPr>
          <w:ilvl w:val="0"/>
          <w:numId w:val="0"/>
        </w:numPr>
        <w:rPr>
          <w:rFonts w:eastAsiaTheme="minorHAnsi" w:cs="Arial"/>
          <w:sz w:val="24"/>
          <w:szCs w:val="24"/>
          <w:lang w:val="en-US"/>
        </w:rPr>
      </w:pPr>
    </w:p>
    <w:p w14:paraId="0ED07ECA" w14:textId="479D4050" w:rsidR="00085070" w:rsidRPr="00874ABA" w:rsidRDefault="00085070" w:rsidP="00071479">
      <w:pPr>
        <w:pStyle w:val="Bulletlevel4"/>
        <w:numPr>
          <w:ilvl w:val="0"/>
          <w:numId w:val="17"/>
        </w:numPr>
        <w:rPr>
          <w:rFonts w:cs="Arial"/>
          <w:b/>
          <w:bCs/>
          <w:szCs w:val="18"/>
        </w:rPr>
      </w:pPr>
      <w:r w:rsidRPr="00874ABA">
        <w:rPr>
          <w:rFonts w:eastAsiaTheme="minorHAnsi" w:cs="Arial"/>
          <w:sz w:val="24"/>
          <w:szCs w:val="24"/>
          <w:lang w:val="en-US"/>
        </w:rPr>
        <w:t xml:space="preserve">Jump to reference: </w:t>
      </w:r>
      <w:r w:rsidR="00045AA3" w:rsidRPr="00874ABA">
        <w:rPr>
          <w:rFonts w:eastAsiaTheme="minorHAnsi" w:cs="Arial"/>
          <w:sz w:val="24"/>
          <w:szCs w:val="24"/>
          <w:lang w:val="en-US"/>
        </w:rPr>
        <w:t>t</w:t>
      </w:r>
      <w:r w:rsidRPr="00874ABA">
        <w:rPr>
          <w:rFonts w:eastAsiaTheme="minorHAnsi" w:cs="Arial"/>
          <w:sz w:val="24"/>
          <w:szCs w:val="24"/>
          <w:lang w:val="en-US"/>
        </w:rPr>
        <w:t>his approach was not prespecified but is the most conservative method among this family of sensitivity analysis approaches. It assumes that participants who withdrew early and a similar proportion of those ongoing participants who could have withdrawn prematurely if the study had not been terminated (i.e., a total of 12% of the ITT population) immediately lost benefit from previous study treatment and progressed as placebo afterward.</w:t>
      </w:r>
    </w:p>
    <w:p w14:paraId="6F9CC00E" w14:textId="77777777" w:rsidR="00085070" w:rsidRPr="00874ABA" w:rsidRDefault="00085070" w:rsidP="00085070">
      <w:pPr>
        <w:pStyle w:val="ListParagraph"/>
        <w:rPr>
          <w:rFonts w:ascii="Arial" w:hAnsi="Arial" w:cs="Arial"/>
          <w:b/>
          <w:bCs/>
          <w:szCs w:val="18"/>
        </w:rPr>
      </w:pPr>
    </w:p>
    <w:p w14:paraId="6B80CD86" w14:textId="0F232EA9" w:rsidR="00085070" w:rsidRPr="00874ABA" w:rsidRDefault="00085070" w:rsidP="00085070">
      <w:pPr>
        <w:pStyle w:val="Bulletlevel4"/>
        <w:numPr>
          <w:ilvl w:val="0"/>
          <w:numId w:val="0"/>
        </w:numPr>
        <w:rPr>
          <w:rFonts w:eastAsiaTheme="minorHAnsi" w:cs="Arial"/>
          <w:sz w:val="24"/>
          <w:szCs w:val="24"/>
          <w:lang w:val="en-US"/>
        </w:rPr>
      </w:pPr>
      <w:r w:rsidRPr="00874ABA">
        <w:rPr>
          <w:rFonts w:eastAsiaTheme="minorHAnsi" w:cs="Arial"/>
          <w:sz w:val="24"/>
          <w:szCs w:val="24"/>
          <w:lang w:val="en-US"/>
        </w:rPr>
        <w:lastRenderedPageBreak/>
        <w:t>Therefore, across several different sensitivity analyses, statistical significance of the high-dose arm was consistently maintained (</w:t>
      </w:r>
      <w:r w:rsidR="00874ABA" w:rsidRPr="00874ABA">
        <w:rPr>
          <w:rFonts w:eastAsiaTheme="minorHAnsi" w:cs="Arial"/>
          <w:b/>
          <w:bCs/>
          <w:color w:val="000000"/>
          <w:sz w:val="24"/>
          <w:szCs w:val="24"/>
          <w:lang w:val="en-US"/>
        </w:rPr>
        <w:t>Supplemental</w:t>
      </w:r>
      <w:r w:rsidR="00874ABA" w:rsidRPr="00874ABA">
        <w:rPr>
          <w:rFonts w:eastAsiaTheme="minorHAnsi" w:cs="Arial"/>
          <w:color w:val="000000"/>
          <w:sz w:val="24"/>
          <w:szCs w:val="24"/>
          <w:lang w:val="en-US"/>
        </w:rPr>
        <w:t xml:space="preserve"> </w:t>
      </w:r>
      <w:r w:rsidR="00BA1A6C" w:rsidRPr="00874ABA">
        <w:rPr>
          <w:rFonts w:eastAsiaTheme="minorHAnsi" w:cs="Arial"/>
          <w:b/>
          <w:bCs/>
          <w:sz w:val="24"/>
          <w:szCs w:val="24"/>
          <w:lang w:val="en-US"/>
        </w:rPr>
        <w:t xml:space="preserve">Data </w:t>
      </w:r>
      <w:r w:rsidRPr="00874ABA">
        <w:rPr>
          <w:rFonts w:eastAsiaTheme="minorHAnsi" w:cs="Arial"/>
          <w:b/>
          <w:bCs/>
          <w:sz w:val="24"/>
          <w:szCs w:val="24"/>
          <w:lang w:val="en-US"/>
        </w:rPr>
        <w:t>Table 2</w:t>
      </w:r>
      <w:r w:rsidRPr="00874ABA">
        <w:rPr>
          <w:rFonts w:eastAsiaTheme="minorHAnsi" w:cs="Arial"/>
          <w:sz w:val="24"/>
          <w:szCs w:val="24"/>
          <w:lang w:val="en-US"/>
        </w:rPr>
        <w:t>)</w:t>
      </w:r>
    </w:p>
    <w:p w14:paraId="47597202" w14:textId="77777777" w:rsidR="00085070" w:rsidRPr="00874ABA" w:rsidRDefault="00085070" w:rsidP="00085070">
      <w:pPr>
        <w:pStyle w:val="Bulletlevel4"/>
        <w:numPr>
          <w:ilvl w:val="0"/>
          <w:numId w:val="0"/>
        </w:numPr>
        <w:rPr>
          <w:rFonts w:eastAsiaTheme="minorHAnsi" w:cs="Arial"/>
          <w:sz w:val="24"/>
          <w:szCs w:val="24"/>
          <w:lang w:val="en-US"/>
        </w:rPr>
      </w:pPr>
    </w:p>
    <w:p w14:paraId="4D7798F5" w14:textId="34D0316A" w:rsidR="00085070" w:rsidRPr="00874ABA" w:rsidRDefault="00085070" w:rsidP="00085070">
      <w:pPr>
        <w:pStyle w:val="Bulletlevel4"/>
        <w:numPr>
          <w:ilvl w:val="0"/>
          <w:numId w:val="0"/>
        </w:numPr>
        <w:rPr>
          <w:rFonts w:eastAsiaTheme="minorHAnsi" w:cs="Arial"/>
          <w:sz w:val="24"/>
          <w:szCs w:val="24"/>
          <w:lang w:val="en-US"/>
        </w:rPr>
      </w:pPr>
      <w:r w:rsidRPr="00874ABA">
        <w:rPr>
          <w:rFonts w:eastAsiaTheme="minorHAnsi" w:cs="Arial"/>
          <w:sz w:val="24"/>
          <w:szCs w:val="24"/>
          <w:lang w:val="en-US"/>
        </w:rPr>
        <w:t xml:space="preserve">In the tipping-point analysis, this prespecified delta adjustment approach showed that in order to overturn statistical significance achieved in the primary efficacy endpoint analysis, </w:t>
      </w:r>
      <w:r w:rsidR="006E215B" w:rsidRPr="00874ABA">
        <w:rPr>
          <w:rFonts w:eastAsiaTheme="minorHAnsi" w:cs="Arial"/>
          <w:sz w:val="24"/>
          <w:szCs w:val="24"/>
          <w:lang w:val="en-US"/>
        </w:rPr>
        <w:t xml:space="preserve">participants </w:t>
      </w:r>
      <w:r w:rsidRPr="00874ABA">
        <w:rPr>
          <w:rFonts w:eastAsiaTheme="minorHAnsi" w:cs="Arial"/>
          <w:sz w:val="24"/>
          <w:szCs w:val="24"/>
          <w:lang w:val="en-US"/>
        </w:rPr>
        <w:t xml:space="preserve">in the high-dose group who withdrew prematurely by March 20, 2019, and a similar proportion of those ongoing </w:t>
      </w:r>
      <w:r w:rsidR="006E215B" w:rsidRPr="00874ABA">
        <w:rPr>
          <w:rFonts w:eastAsiaTheme="minorHAnsi" w:cs="Arial"/>
          <w:sz w:val="24"/>
          <w:szCs w:val="24"/>
          <w:lang w:val="en-US"/>
        </w:rPr>
        <w:t xml:space="preserve">participants </w:t>
      </w:r>
      <w:r w:rsidRPr="00874ABA">
        <w:rPr>
          <w:rFonts w:eastAsiaTheme="minorHAnsi" w:cs="Arial"/>
          <w:sz w:val="24"/>
          <w:szCs w:val="24"/>
          <w:lang w:val="en-US"/>
        </w:rPr>
        <w:t xml:space="preserve">who could have withdrawn prematurely if the study had not been terminated (i.e., a total of 12% of the ITT population) would have had to progress faster than the </w:t>
      </w:r>
      <w:r w:rsidR="006E215B" w:rsidRPr="00874ABA">
        <w:rPr>
          <w:rFonts w:eastAsiaTheme="minorHAnsi" w:cs="Arial"/>
          <w:sz w:val="24"/>
          <w:szCs w:val="24"/>
          <w:lang w:val="en-US"/>
        </w:rPr>
        <w:t xml:space="preserve">participants </w:t>
      </w:r>
      <w:r w:rsidRPr="00874ABA">
        <w:rPr>
          <w:rFonts w:eastAsiaTheme="minorHAnsi" w:cs="Arial"/>
          <w:sz w:val="24"/>
          <w:szCs w:val="24"/>
          <w:lang w:val="en-US"/>
        </w:rPr>
        <w:t>in the placebo group. This is implausible, given that the large amount of posttreatment data collected after study termination showed no sign of high-dose participants performing worse than the placebo participants after discontinuing aducanumab. The implausibility of the worsening needed to overturn the statistical significance reinforces the robustness of the primary analysis.</w:t>
      </w:r>
    </w:p>
    <w:p w14:paraId="0033CDDE" w14:textId="77777777" w:rsidR="00085070" w:rsidRPr="00874ABA" w:rsidRDefault="00085070" w:rsidP="00085070">
      <w:pPr>
        <w:pStyle w:val="Bulletlevel4"/>
        <w:numPr>
          <w:ilvl w:val="0"/>
          <w:numId w:val="0"/>
        </w:numPr>
        <w:rPr>
          <w:rFonts w:eastAsiaTheme="minorHAnsi" w:cs="Arial"/>
          <w:sz w:val="24"/>
          <w:szCs w:val="24"/>
          <w:lang w:val="en-US"/>
        </w:rPr>
      </w:pPr>
    </w:p>
    <w:p w14:paraId="5E6D6F79" w14:textId="77777777" w:rsidR="00085070" w:rsidRPr="00874ABA" w:rsidRDefault="00085070" w:rsidP="00085070">
      <w:pPr>
        <w:pStyle w:val="Bulletlevel4"/>
        <w:numPr>
          <w:ilvl w:val="0"/>
          <w:numId w:val="0"/>
        </w:numPr>
        <w:rPr>
          <w:rFonts w:eastAsiaTheme="minorHAnsi" w:cs="Arial"/>
          <w:sz w:val="24"/>
          <w:szCs w:val="24"/>
          <w:lang w:val="en-US"/>
        </w:rPr>
      </w:pPr>
      <w:r w:rsidRPr="00874ABA">
        <w:rPr>
          <w:rFonts w:eastAsiaTheme="minorHAnsi" w:cs="Arial"/>
          <w:sz w:val="24"/>
          <w:szCs w:val="24"/>
          <w:lang w:val="en-US"/>
        </w:rPr>
        <w:t>Two additional post hoc sensitivity analyses were used to assess the consequences of nonnormality in the data. The nonnormality (i.e., right-skewness in the data) increased heterogeneity and could possibly bias estimates of treatment effects. The consequences of the nonnormality were assessed by repeating the primary analysis on data that were “normalized” using a log-transformation and a nonparametric procedure that used the ranked order of outcomes rather than the actual values. In the nonparametric and log-transformed analyses, the magnitude of the treatment effect was increased compared to the primary analysis (</w:t>
      </w:r>
      <w:r w:rsidRPr="00874ABA">
        <w:rPr>
          <w:rFonts w:cs="Arial"/>
        </w:rPr>
        <w:t>−</w:t>
      </w:r>
      <w:r w:rsidRPr="00874ABA">
        <w:rPr>
          <w:rFonts w:eastAsiaTheme="minorHAnsi" w:cs="Arial"/>
          <w:sz w:val="24"/>
          <w:szCs w:val="24"/>
          <w:lang w:val="en-US"/>
        </w:rPr>
        <w:t xml:space="preserve">0.44 and </w:t>
      </w:r>
      <w:r w:rsidRPr="00874ABA">
        <w:rPr>
          <w:rFonts w:cs="Arial"/>
        </w:rPr>
        <w:t>−</w:t>
      </w:r>
      <w:r w:rsidRPr="00874ABA">
        <w:rPr>
          <w:rFonts w:eastAsiaTheme="minorHAnsi" w:cs="Arial"/>
          <w:sz w:val="24"/>
          <w:szCs w:val="24"/>
          <w:lang w:val="en-US"/>
        </w:rPr>
        <w:t xml:space="preserve">0.49, respectively). The data transformations also decreased heterogeneity. </w:t>
      </w:r>
    </w:p>
    <w:p w14:paraId="275A6D25" w14:textId="77777777" w:rsidR="00085070" w:rsidRPr="00874ABA" w:rsidRDefault="00085070" w:rsidP="00085070">
      <w:pPr>
        <w:pStyle w:val="Bulletlevel4"/>
        <w:numPr>
          <w:ilvl w:val="0"/>
          <w:numId w:val="0"/>
        </w:numPr>
        <w:rPr>
          <w:rFonts w:eastAsiaTheme="minorHAnsi" w:cs="Arial"/>
          <w:sz w:val="24"/>
          <w:szCs w:val="24"/>
          <w:lang w:val="en-US"/>
        </w:rPr>
      </w:pPr>
    </w:p>
    <w:p w14:paraId="705D5BC8" w14:textId="34CCFAEF" w:rsidR="00085070" w:rsidRPr="00874ABA" w:rsidRDefault="00085070" w:rsidP="000C69E5">
      <w:pPr>
        <w:pStyle w:val="Bulletlevel4"/>
        <w:numPr>
          <w:ilvl w:val="0"/>
          <w:numId w:val="0"/>
        </w:numPr>
        <w:rPr>
          <w:rFonts w:eastAsiaTheme="minorHAnsi" w:cs="Arial"/>
          <w:sz w:val="24"/>
          <w:szCs w:val="24"/>
          <w:lang w:val="en-US"/>
        </w:rPr>
      </w:pPr>
      <w:r w:rsidRPr="00874ABA">
        <w:rPr>
          <w:rFonts w:eastAsiaTheme="minorHAnsi" w:cs="Arial"/>
          <w:sz w:val="24"/>
          <w:szCs w:val="24"/>
          <w:lang w:val="en-US"/>
        </w:rPr>
        <w:t>In summary, the treatment effect observed in the EMERGE high-dose arm was robust to a range of missing data assumptions and departures from normality assumptions.</w:t>
      </w:r>
      <w:r w:rsidRPr="00874ABA">
        <w:rPr>
          <w:rFonts w:eastAsiaTheme="minorHAnsi" w:cs="Arial"/>
          <w:sz w:val="24"/>
          <w:szCs w:val="24"/>
          <w:lang w:val="en-US"/>
        </w:rPr>
        <w:br w:type="page"/>
      </w:r>
    </w:p>
    <w:p w14:paraId="0C61CBD3" w14:textId="6D5EE08C" w:rsidR="00FF68ED" w:rsidRPr="00874ABA" w:rsidRDefault="00FF68ED" w:rsidP="00FF68ED">
      <w:pPr>
        <w:pStyle w:val="Bulletlevel4"/>
        <w:numPr>
          <w:ilvl w:val="0"/>
          <w:numId w:val="0"/>
        </w:numPr>
        <w:rPr>
          <w:rFonts w:cs="Arial"/>
          <w:b/>
          <w:sz w:val="28"/>
          <w:szCs w:val="24"/>
        </w:rPr>
      </w:pPr>
      <w:r w:rsidRPr="00874ABA">
        <w:rPr>
          <w:rFonts w:cs="Arial"/>
          <w:b/>
          <w:sz w:val="28"/>
          <w:szCs w:val="24"/>
        </w:rPr>
        <w:lastRenderedPageBreak/>
        <w:t>Supplement references</w:t>
      </w:r>
    </w:p>
    <w:p w14:paraId="31D94888" w14:textId="17657B47" w:rsidR="00F223E0" w:rsidRPr="00874ABA" w:rsidRDefault="00F223E0" w:rsidP="00F223E0">
      <w:pPr>
        <w:pStyle w:val="EndNoteBibliography"/>
        <w:ind w:left="720" w:hanging="720"/>
      </w:pPr>
      <w:r w:rsidRPr="00874ABA">
        <w:rPr>
          <w:lang w:val="en-US"/>
        </w:rPr>
        <w:fldChar w:fldCharType="begin"/>
      </w:r>
      <w:r w:rsidRPr="00874ABA">
        <w:rPr>
          <w:lang w:val="en-US"/>
        </w:rPr>
        <w:instrText xml:space="preserve"> ADDIN EN.REFLIST </w:instrText>
      </w:r>
      <w:r w:rsidRPr="00874ABA">
        <w:rPr>
          <w:lang w:val="en-US"/>
        </w:rPr>
        <w:fldChar w:fldCharType="separate"/>
      </w:r>
      <w:r w:rsidRPr="00874ABA">
        <w:t>1</w:t>
      </w:r>
      <w:r w:rsidRPr="00874ABA">
        <w:tab/>
        <w:t>Klunk, W. E.</w:t>
      </w:r>
      <w:r w:rsidRPr="00874ABA">
        <w:rPr>
          <w:i/>
        </w:rPr>
        <w:t xml:space="preserve"> et al.</w:t>
      </w:r>
      <w:r w:rsidRPr="00874ABA">
        <w:t xml:space="preserve"> The Centiloid Project: standardizing quantitative amyloid plaque estimation by PET. </w:t>
      </w:r>
      <w:r w:rsidRPr="00874ABA">
        <w:rPr>
          <w:i/>
        </w:rPr>
        <w:t>Alzheimers Dement.</w:t>
      </w:r>
      <w:r w:rsidRPr="00874ABA">
        <w:t xml:space="preserve"> </w:t>
      </w:r>
      <w:r w:rsidRPr="00874ABA">
        <w:rPr>
          <w:b/>
        </w:rPr>
        <w:t>11</w:t>
      </w:r>
      <w:r w:rsidRPr="00874ABA">
        <w:t xml:space="preserve"> (2015).</w:t>
      </w:r>
    </w:p>
    <w:p w14:paraId="37A8BFF7" w14:textId="17BE7A2A" w:rsidR="00FA3910" w:rsidRPr="00874ABA" w:rsidRDefault="00F223E0">
      <w:pPr>
        <w:spacing w:after="160" w:line="480" w:lineRule="auto"/>
        <w:rPr>
          <w:lang w:val="en-US"/>
        </w:rPr>
      </w:pPr>
      <w:r w:rsidRPr="00874ABA">
        <w:rPr>
          <w:lang w:val="en-US"/>
        </w:rPr>
        <w:fldChar w:fldCharType="end"/>
      </w:r>
    </w:p>
    <w:p w14:paraId="01614DD1" w14:textId="77777777" w:rsidR="00FA3910" w:rsidRPr="00874ABA" w:rsidRDefault="00FA3910">
      <w:pPr>
        <w:spacing w:after="160" w:line="259" w:lineRule="auto"/>
        <w:rPr>
          <w:lang w:val="en-US"/>
        </w:rPr>
      </w:pPr>
      <w:r w:rsidRPr="00874ABA">
        <w:rPr>
          <w:lang w:val="en-US"/>
        </w:rPr>
        <w:br w:type="page"/>
      </w:r>
    </w:p>
    <w:p w14:paraId="627A1C41" w14:textId="5DCC8FA4" w:rsidR="00FA3910" w:rsidRPr="00874ABA" w:rsidRDefault="001674E1" w:rsidP="00FA3910">
      <w:pPr>
        <w:pStyle w:val="Manuscriptheading2"/>
        <w:spacing w:before="0" w:after="0" w:line="480" w:lineRule="auto"/>
        <w:rPr>
          <w:lang w:val="en-US"/>
        </w:rPr>
      </w:pPr>
      <w:r w:rsidRPr="00874ABA">
        <w:rPr>
          <w:lang w:val="en-US"/>
        </w:rPr>
        <w:lastRenderedPageBreak/>
        <w:t>Supplemental</w:t>
      </w:r>
      <w:r w:rsidR="00FA3910" w:rsidRPr="00874ABA">
        <w:rPr>
          <w:lang w:val="en-US"/>
        </w:rPr>
        <w:t xml:space="preserve"> Data</w:t>
      </w:r>
    </w:p>
    <w:p w14:paraId="387ADB39" w14:textId="1500C53C" w:rsidR="00D15D32" w:rsidRPr="00874ABA" w:rsidRDefault="001674E1" w:rsidP="00D15D32">
      <w:pPr>
        <w:pStyle w:val="Text"/>
        <w:spacing w:line="480" w:lineRule="auto"/>
        <w:rPr>
          <w:b/>
          <w:bCs/>
          <w:lang w:val="en-US"/>
        </w:rPr>
      </w:pPr>
      <w:r w:rsidRPr="00874ABA">
        <w:rPr>
          <w:b/>
          <w:lang w:val="en-US"/>
        </w:rPr>
        <w:t>Supplemental</w:t>
      </w:r>
      <w:r w:rsidR="00D15D32" w:rsidRPr="00874ABA">
        <w:rPr>
          <w:b/>
          <w:lang w:val="en-US"/>
        </w:rPr>
        <w:t xml:space="preserve"> Data Table </w:t>
      </w:r>
      <w:r w:rsidR="00D15D32" w:rsidRPr="00874ABA">
        <w:rPr>
          <w:b/>
          <w:bCs/>
          <w:lang w:val="en-US"/>
        </w:rPr>
        <w:t>1</w:t>
      </w:r>
      <w:r w:rsidR="00D15D32" w:rsidRPr="00874ABA">
        <w:t xml:space="preserve"> </w:t>
      </w:r>
      <w:r w:rsidR="00D15D32" w:rsidRPr="00874ABA">
        <w:rPr>
          <w:rFonts w:cs="Arial"/>
          <w:b/>
          <w:bCs/>
          <w:lang w:val="en-US"/>
        </w:rPr>
        <w:t>Demographic and baseline disease characteristics</w:t>
      </w:r>
      <w:r w:rsidR="00D15D32" w:rsidRPr="00874ABA">
        <w:rPr>
          <w:b/>
          <w:bCs/>
          <w:lang w:val="en-US"/>
        </w:rPr>
        <w:t xml:space="preserve"> in the amyloid PET, tau PET, CSF, and plasma p-tau</w:t>
      </w:r>
      <w:r w:rsidR="00D15D32" w:rsidRPr="00874ABA">
        <w:rPr>
          <w:b/>
          <w:bCs/>
          <w:vertAlign w:val="superscript"/>
          <w:lang w:val="en-US"/>
        </w:rPr>
        <w:t>181</w:t>
      </w:r>
      <w:r w:rsidR="00D15D32" w:rsidRPr="00874ABA">
        <w:rPr>
          <w:b/>
          <w:bCs/>
          <w:lang w:val="en-US"/>
        </w:rPr>
        <w:t xml:space="preserve"> populations</w:t>
      </w:r>
    </w:p>
    <w:p w14:paraId="5C38EA54" w14:textId="77777777" w:rsidR="00D15D32" w:rsidRPr="00874ABA" w:rsidRDefault="00D15D32" w:rsidP="00D15D32">
      <w:pPr>
        <w:pStyle w:val="Bulletlevel4"/>
        <w:numPr>
          <w:ilvl w:val="0"/>
          <w:numId w:val="0"/>
        </w:numPr>
        <w:spacing w:line="480" w:lineRule="auto"/>
        <w:rPr>
          <w:rFonts w:cs="Arial"/>
          <w:lang w:val="en-US"/>
        </w:rPr>
      </w:pPr>
      <w:r w:rsidRPr="00874ABA">
        <w:rPr>
          <w:szCs w:val="22"/>
          <w:lang w:val="en-US"/>
        </w:rPr>
        <w:t>Demographics and baseline characteristics are shown for the amyloid PET substudy population, the tau PET substudy population, the CSF substudy population, and the plasma p-tau</w:t>
      </w:r>
      <w:r w:rsidRPr="00874ABA">
        <w:rPr>
          <w:szCs w:val="22"/>
          <w:vertAlign w:val="superscript"/>
          <w:lang w:val="en-US"/>
        </w:rPr>
        <w:t>181</w:t>
      </w:r>
      <w:r w:rsidRPr="00874ABA">
        <w:rPr>
          <w:szCs w:val="22"/>
          <w:lang w:val="en-US"/>
        </w:rPr>
        <w:t xml:space="preserve"> analysis population.</w:t>
      </w:r>
    </w:p>
    <w:p w14:paraId="0E828371" w14:textId="30F2B4BA" w:rsidR="002F4CA4" w:rsidRDefault="00D15D32" w:rsidP="00D15D32">
      <w:pPr>
        <w:pStyle w:val="Text"/>
        <w:spacing w:line="480" w:lineRule="auto"/>
        <w:rPr>
          <w:rFonts w:cs="Arial"/>
          <w:lang w:val="en-US"/>
        </w:rPr>
      </w:pPr>
      <w:r w:rsidRPr="00874ABA">
        <w:rPr>
          <w:rFonts w:cs="Arial"/>
          <w:lang w:val="en-US"/>
        </w:rPr>
        <w:t>ADAS-Cog13, Alzheimer’s Disease Assessment Scale–cognitive subscale (13 items); ADCS-ADL-MCI, Alzheimer’s Disease Cooperative Study–Activities of Daily Living Inventory (mild cognitive impairment version); ApoE, apolipoprotein E; CDR-SB, Clinical Dementia Rating–sum of boxes; MCI, mild cognitive impairment</w:t>
      </w:r>
      <w:r w:rsidRPr="00874ABA">
        <w:rPr>
          <w:lang w:val="en-US"/>
        </w:rPr>
        <w:t xml:space="preserve">; </w:t>
      </w:r>
      <w:r w:rsidRPr="00874ABA">
        <w:rPr>
          <w:rFonts w:cs="Arial"/>
          <w:lang w:val="en-US"/>
        </w:rPr>
        <w:t>MMSE, Mini-Mental State Examination; PET, positron emission tomography; RBANS, Repeatable Battery for Assessment of Neuropsychological Status; SUVR, standardized uptake value ratio.</w:t>
      </w:r>
    </w:p>
    <w:p w14:paraId="5303F475" w14:textId="77777777" w:rsidR="002F4CA4" w:rsidRDefault="002F4CA4">
      <w:pPr>
        <w:spacing w:after="160" w:line="259" w:lineRule="auto"/>
        <w:rPr>
          <w:rFonts w:cs="Arial"/>
          <w:lang w:val="en-US" w:eastAsia="en-US"/>
        </w:rPr>
      </w:pPr>
      <w:r>
        <w:rPr>
          <w:rFonts w:cs="Arial"/>
          <w:lang w:val="en-US"/>
        </w:rPr>
        <w:br w:type="page"/>
      </w:r>
    </w:p>
    <w:p w14:paraId="72C1B9F9" w14:textId="2BA18236" w:rsidR="00D15D32" w:rsidRPr="00874ABA" w:rsidRDefault="00D15D32" w:rsidP="00294A5F">
      <w:pPr>
        <w:pStyle w:val="Bulletlevel4"/>
        <w:numPr>
          <w:ilvl w:val="0"/>
          <w:numId w:val="0"/>
        </w:numPr>
        <w:spacing w:line="480" w:lineRule="auto"/>
        <w:rPr>
          <w:rFonts w:cs="Arial"/>
          <w:b/>
        </w:rPr>
        <w:sectPr w:rsidR="00D15D32" w:rsidRPr="00874ABA" w:rsidSect="000C69E5">
          <w:headerReference w:type="default" r:id="rId11"/>
          <w:type w:val="continuous"/>
          <w:pgSz w:w="11906" w:h="16838" w:code="9"/>
          <w:pgMar w:top="720" w:right="720" w:bottom="720" w:left="720" w:header="288" w:footer="720" w:gutter="0"/>
          <w:cols w:space="720"/>
          <w:docGrid w:linePitch="326"/>
        </w:sectPr>
      </w:pPr>
    </w:p>
    <w:p w14:paraId="3BFA6B2D" w14:textId="7E7E90BC" w:rsidR="00A86A4F" w:rsidRDefault="000C69E5">
      <w:pPr>
        <w:spacing w:after="160" w:line="259" w:lineRule="auto"/>
        <w:rPr>
          <w:b/>
          <w:lang w:val="en-US" w:eastAsia="en-US"/>
        </w:rPr>
      </w:pPr>
      <w:r>
        <w:rPr>
          <w:b/>
          <w:noProof/>
          <w:lang w:val="en-US" w:eastAsia="en-US"/>
        </w:rPr>
        <w:lastRenderedPageBreak/>
        <w:drawing>
          <wp:anchor distT="0" distB="0" distL="114300" distR="114300" simplePos="0" relativeHeight="251657216" behindDoc="0" locked="0" layoutInCell="1" allowOverlap="1" wp14:anchorId="2E190B57" wp14:editId="765C754D">
            <wp:simplePos x="0" y="0"/>
            <wp:positionH relativeFrom="margin">
              <wp:align>right</wp:align>
            </wp:positionH>
            <wp:positionV relativeFrom="paragraph">
              <wp:posOffset>12645</wp:posOffset>
            </wp:positionV>
            <wp:extent cx="9875520" cy="5597139"/>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75520" cy="5597139"/>
                    </a:xfrm>
                    <a:prstGeom prst="rect">
                      <a:avLst/>
                    </a:prstGeom>
                    <a:noFill/>
                  </pic:spPr>
                </pic:pic>
              </a:graphicData>
            </a:graphic>
            <wp14:sizeRelH relativeFrom="page">
              <wp14:pctWidth>0</wp14:pctWidth>
            </wp14:sizeRelH>
            <wp14:sizeRelV relativeFrom="page">
              <wp14:pctHeight>0</wp14:pctHeight>
            </wp14:sizeRelV>
          </wp:anchor>
        </w:drawing>
      </w:r>
    </w:p>
    <w:p w14:paraId="1AA7454B" w14:textId="58D3D42B" w:rsidR="000C69E5" w:rsidRDefault="00294A5F" w:rsidP="00294A5F">
      <w:pPr>
        <w:spacing w:line="480" w:lineRule="auto"/>
        <w:rPr>
          <w:b/>
          <w:lang w:val="en-US"/>
        </w:rPr>
        <w:sectPr w:rsidR="000C69E5" w:rsidSect="000C69E5">
          <w:pgSz w:w="16838" w:h="11906" w:orient="landscape" w:code="9"/>
          <w:pgMar w:top="720" w:right="720" w:bottom="720" w:left="720" w:header="288" w:footer="720" w:gutter="0"/>
          <w:cols w:space="720"/>
          <w:docGrid w:linePitch="326"/>
        </w:sectPr>
      </w:pPr>
      <w:r w:rsidRPr="00874ABA">
        <w:br w:type="page"/>
      </w:r>
    </w:p>
    <w:p w14:paraId="1FA4C3B4" w14:textId="65BE8873" w:rsidR="00294A5F" w:rsidRPr="00874ABA" w:rsidRDefault="001674E1" w:rsidP="00294A5F">
      <w:pPr>
        <w:spacing w:line="480" w:lineRule="auto"/>
        <w:rPr>
          <w:rFonts w:cs="Arial"/>
          <w:b/>
        </w:rPr>
      </w:pPr>
      <w:r w:rsidRPr="00DC48E8">
        <w:rPr>
          <w:b/>
          <w:lang w:val="en-US"/>
        </w:rPr>
        <w:lastRenderedPageBreak/>
        <w:t xml:space="preserve">Supplemental </w:t>
      </w:r>
      <w:r w:rsidR="00294A5F" w:rsidRPr="00DC48E8">
        <w:rPr>
          <w:rFonts w:cs="Arial"/>
          <w:b/>
        </w:rPr>
        <w:t xml:space="preserve">Data Table </w:t>
      </w:r>
      <w:r w:rsidR="00A86A4F" w:rsidRPr="00DC48E8">
        <w:rPr>
          <w:rFonts w:cs="Arial"/>
          <w:b/>
        </w:rPr>
        <w:t>2</w:t>
      </w:r>
      <w:r w:rsidR="00294A5F" w:rsidRPr="00DC48E8">
        <w:rPr>
          <w:rFonts w:cs="Arial"/>
          <w:b/>
        </w:rPr>
        <w:t xml:space="preserve"> </w:t>
      </w:r>
      <w:r w:rsidR="00294A5F" w:rsidRPr="00DC48E8">
        <w:rPr>
          <w:rFonts w:cs="Arial"/>
          <w:b/>
          <w:bCs/>
        </w:rPr>
        <w:t>Change from baseline to week 78 on the CDR-SB, primary analysis and</w:t>
      </w:r>
      <w:r w:rsidR="00294A5F" w:rsidRPr="00DC48E8">
        <w:rPr>
          <w:rFonts w:cs="Arial"/>
          <w:b/>
          <w:bCs/>
        </w:rPr>
        <w:br/>
        <w:t>prespecified and post hoc sensitivity analyses in EMERGE</w:t>
      </w:r>
    </w:p>
    <w:p w14:paraId="0EF49BFF" w14:textId="77777777" w:rsidR="00294A5F" w:rsidRPr="00874ABA" w:rsidRDefault="00294A5F" w:rsidP="00294A5F">
      <w:pPr>
        <w:pStyle w:val="Bulletlevel4"/>
        <w:numPr>
          <w:ilvl w:val="0"/>
          <w:numId w:val="0"/>
        </w:numPr>
        <w:spacing w:line="480" w:lineRule="auto"/>
        <w:rPr>
          <w:rFonts w:cs="Arial"/>
          <w:bCs/>
          <w:szCs w:val="22"/>
        </w:rPr>
      </w:pPr>
      <w:r w:rsidRPr="00874ABA">
        <w:rPr>
          <w:rFonts w:cs="Arial"/>
          <w:bCs/>
          <w:szCs w:val="22"/>
          <w:lang w:val="en-US"/>
        </w:rPr>
        <w:t xml:space="preserve">The primary analysis was conducted on the randomized and </w:t>
      </w:r>
      <w:r w:rsidRPr="00874ABA">
        <w:rPr>
          <w:lang w:val="en-US"/>
        </w:rPr>
        <w:t xml:space="preserve">dosed </w:t>
      </w:r>
      <w:r w:rsidRPr="00874ABA">
        <w:rPr>
          <w:rFonts w:cs="Arial"/>
          <w:bCs/>
          <w:lang w:val="en-US"/>
        </w:rPr>
        <w:t>population</w:t>
      </w:r>
      <w:r w:rsidRPr="00874ABA">
        <w:rPr>
          <w:lang w:val="en-US"/>
        </w:rPr>
        <w:t xml:space="preserve"> excluding data collected after March 20, 2019. A</w:t>
      </w:r>
      <w:r w:rsidRPr="00874ABA">
        <w:rPr>
          <w:rFonts w:cs="Arial"/>
          <w:bCs/>
          <w:lang w:val="en-US"/>
        </w:rPr>
        <w:t xml:space="preserve">n MMRM was </w:t>
      </w:r>
      <w:r w:rsidRPr="00874ABA">
        <w:rPr>
          <w:rFonts w:cs="Arial"/>
          <w:bCs/>
          <w:szCs w:val="22"/>
          <w:lang w:val="en-US"/>
        </w:rPr>
        <w:t xml:space="preserve">used </w:t>
      </w:r>
      <w:r w:rsidRPr="00874ABA">
        <w:rPr>
          <w:lang w:val="en-US"/>
        </w:rPr>
        <w:t xml:space="preserve">as the primary analysis to analyze change from baseline in the CDR-SB with fixed effects of treatment group, time, treatment group-by-time interaction, baseline CDR-SB, baseline CDR-SB by time interaction, baseline MMSE, AD symptomatic medication </w:t>
      </w:r>
      <w:proofErr w:type="gramStart"/>
      <w:r w:rsidRPr="00874ABA">
        <w:rPr>
          <w:lang w:val="en-US"/>
        </w:rPr>
        <w:t>use</w:t>
      </w:r>
      <w:proofErr w:type="gramEnd"/>
      <w:r w:rsidRPr="00874ABA">
        <w:rPr>
          <w:lang w:val="en-US"/>
        </w:rPr>
        <w:t xml:space="preserve"> at baseline, region, and laboratory ApoE ε4 status </w:t>
      </w:r>
      <w:r w:rsidRPr="00874ABA">
        <w:rPr>
          <w:rFonts w:cs="Arial"/>
          <w:bCs/>
          <w:szCs w:val="22"/>
        </w:rPr>
        <w:t xml:space="preserve">(carrier and noncarrier). </w:t>
      </w:r>
      <w:r w:rsidRPr="00874ABA">
        <w:rPr>
          <w:rFonts w:cs="Arial"/>
          <w:bCs/>
          <w:szCs w:val="22"/>
          <w:lang w:val="en-US"/>
        </w:rPr>
        <w:t xml:space="preserve">Except for the primary analysis, all other </w:t>
      </w:r>
      <w:r w:rsidRPr="00874ABA">
        <w:rPr>
          <w:i/>
          <w:lang w:val="en-US"/>
        </w:rPr>
        <w:t>P</w:t>
      </w:r>
      <w:r w:rsidRPr="00874ABA">
        <w:rPr>
          <w:rFonts w:cs="Arial"/>
          <w:bCs/>
          <w:szCs w:val="22"/>
          <w:lang w:val="en-US"/>
        </w:rPr>
        <w:t xml:space="preserve"> </w:t>
      </w:r>
      <w:r w:rsidRPr="00874ABA">
        <w:rPr>
          <w:lang w:val="en-US"/>
        </w:rPr>
        <w:t>values are nominal.</w:t>
      </w:r>
    </w:p>
    <w:p w14:paraId="591143AD" w14:textId="77777777" w:rsidR="00294A5F" w:rsidRPr="00874ABA" w:rsidRDefault="00294A5F" w:rsidP="00294A5F">
      <w:pPr>
        <w:pStyle w:val="Bulletlevel4"/>
        <w:numPr>
          <w:ilvl w:val="0"/>
          <w:numId w:val="0"/>
        </w:numPr>
        <w:spacing w:line="480" w:lineRule="auto"/>
        <w:rPr>
          <w:rFonts w:cs="Arial"/>
          <w:bCs/>
          <w:lang w:val="en-US"/>
        </w:rPr>
      </w:pPr>
      <w:r w:rsidRPr="00874ABA">
        <w:rPr>
          <w:rFonts w:cs="Arial"/>
          <w:bCs/>
          <w:vertAlign w:val="superscript"/>
          <w:lang w:val="en-US"/>
        </w:rPr>
        <w:t>a</w:t>
      </w:r>
      <w:r w:rsidRPr="00874ABA">
        <w:rPr>
          <w:rFonts w:cs="Arial"/>
          <w:bCs/>
          <w:lang w:val="en-US"/>
        </w:rPr>
        <w:t xml:space="preserve"> Difference vs. placebo at week 78. Negative percentage means less progression in the treated arm.</w:t>
      </w:r>
    </w:p>
    <w:p w14:paraId="065E2CFA" w14:textId="77777777" w:rsidR="00294A5F" w:rsidRDefault="00294A5F" w:rsidP="00294A5F">
      <w:pPr>
        <w:pStyle w:val="Bulletlevel4"/>
        <w:numPr>
          <w:ilvl w:val="0"/>
          <w:numId w:val="0"/>
        </w:numPr>
        <w:spacing w:line="480" w:lineRule="auto"/>
        <w:rPr>
          <w:rFonts w:cs="Arial"/>
          <w:bCs/>
          <w:lang w:val="en-US"/>
        </w:rPr>
      </w:pPr>
      <w:r w:rsidRPr="00874ABA">
        <w:rPr>
          <w:rFonts w:cs="Arial"/>
          <w:bCs/>
          <w:vertAlign w:val="superscript"/>
          <w:lang w:val="en-US"/>
        </w:rPr>
        <w:t>b</w:t>
      </w:r>
      <w:r w:rsidRPr="00874ABA">
        <w:rPr>
          <w:rFonts w:cs="Arial"/>
          <w:bCs/>
          <w:lang w:val="en-US"/>
        </w:rPr>
        <w:t xml:space="preserve"> Data collected after premature discontinuation of treatment and any change to concomitant AD symptomatic medication were excluded.</w:t>
      </w:r>
    </w:p>
    <w:p w14:paraId="7EDD2438" w14:textId="77777777" w:rsidR="0095700D" w:rsidRDefault="009C774D" w:rsidP="00294A5F">
      <w:pPr>
        <w:pStyle w:val="Bulletlevel4"/>
        <w:numPr>
          <w:ilvl w:val="0"/>
          <w:numId w:val="0"/>
        </w:numPr>
        <w:spacing w:line="480" w:lineRule="auto"/>
        <w:rPr>
          <w:rFonts w:cs="Arial"/>
          <w:bCs/>
          <w:lang w:val="en-US"/>
        </w:rPr>
      </w:pPr>
      <w:r>
        <w:rPr>
          <w:rFonts w:cs="Arial"/>
          <w:bCs/>
          <w:vertAlign w:val="superscript"/>
          <w:lang w:val="en-US"/>
        </w:rPr>
        <w:t>c</w:t>
      </w:r>
      <w:r w:rsidRPr="00874ABA">
        <w:rPr>
          <w:rFonts w:cs="Arial"/>
          <w:bCs/>
          <w:lang w:val="en-US"/>
        </w:rPr>
        <w:t xml:space="preserve"> </w:t>
      </w:r>
      <w:r w:rsidR="00E130E0" w:rsidRPr="00E130E0">
        <w:rPr>
          <w:rFonts w:cs="Arial"/>
          <w:bCs/>
          <w:lang w:val="en-US"/>
        </w:rPr>
        <w:t>Missing data for</w:t>
      </w:r>
      <w:r w:rsidR="00E130E0">
        <w:rPr>
          <w:rFonts w:cs="Arial"/>
          <w:bCs/>
          <w:lang w:val="en-US"/>
        </w:rPr>
        <w:t xml:space="preserve"> participants</w:t>
      </w:r>
      <w:r w:rsidR="00E130E0" w:rsidRPr="00E130E0">
        <w:rPr>
          <w:rFonts w:cs="Arial"/>
          <w:bCs/>
          <w:lang w:val="en-US"/>
        </w:rPr>
        <w:t xml:space="preserve"> who withdrew from study due to reasons related to efficacy</w:t>
      </w:r>
      <w:r w:rsidR="00685F0F">
        <w:rPr>
          <w:rFonts w:cs="Arial"/>
          <w:bCs/>
          <w:lang w:val="en-US"/>
        </w:rPr>
        <w:t xml:space="preserve"> (e.g., </w:t>
      </w:r>
      <w:r w:rsidR="00685F0F" w:rsidRPr="00E130E0">
        <w:rPr>
          <w:rFonts w:cs="Arial"/>
          <w:bCs/>
          <w:lang w:val="en-US"/>
        </w:rPr>
        <w:t>consent withdrawn, withdrawal by parent/guardian, investigator decision, loss of capacity, change of treatment, disease progression and other</w:t>
      </w:r>
      <w:r w:rsidR="00685F0F">
        <w:rPr>
          <w:rFonts w:cs="Arial"/>
          <w:bCs/>
          <w:lang w:val="en-US"/>
        </w:rPr>
        <w:t>)</w:t>
      </w:r>
      <w:r w:rsidR="00E130E0" w:rsidRPr="00E130E0">
        <w:rPr>
          <w:rFonts w:cs="Arial"/>
          <w:bCs/>
          <w:lang w:val="en-US"/>
        </w:rPr>
        <w:t xml:space="preserve"> were imputed using the copy increment from reference method. Within administratively terminated </w:t>
      </w:r>
      <w:r w:rsidR="00685F0F">
        <w:rPr>
          <w:rFonts w:cs="Arial"/>
          <w:bCs/>
          <w:lang w:val="en-US"/>
        </w:rPr>
        <w:t>participants</w:t>
      </w:r>
      <w:r w:rsidR="00E130E0" w:rsidRPr="00E130E0">
        <w:rPr>
          <w:rFonts w:cs="Arial"/>
          <w:bCs/>
          <w:lang w:val="en-US"/>
        </w:rPr>
        <w:t xml:space="preserve">, 5.5% were assumed to be potential dropouts due to reasons related to efficacy if the study had not been terminated and their missing data were imputed using the </w:t>
      </w:r>
      <w:r w:rsidR="00685F0F" w:rsidRPr="00E130E0">
        <w:rPr>
          <w:rFonts w:cs="Arial"/>
          <w:bCs/>
          <w:lang w:val="en-US"/>
        </w:rPr>
        <w:t>copy increment from reference</w:t>
      </w:r>
      <w:r w:rsidR="00E130E0" w:rsidRPr="00E130E0">
        <w:rPr>
          <w:rFonts w:cs="Arial"/>
          <w:bCs/>
          <w:lang w:val="en-US"/>
        </w:rPr>
        <w:t xml:space="preserve"> method. All other missing data were imputed using the missing at random method.</w:t>
      </w:r>
    </w:p>
    <w:p w14:paraId="65F0203A" w14:textId="14A451A7" w:rsidR="00294A5F" w:rsidRPr="00874ABA" w:rsidRDefault="00655552" w:rsidP="00294A5F">
      <w:pPr>
        <w:pStyle w:val="Bulletlevel4"/>
        <w:numPr>
          <w:ilvl w:val="0"/>
          <w:numId w:val="0"/>
        </w:numPr>
        <w:spacing w:line="480" w:lineRule="auto"/>
        <w:rPr>
          <w:rFonts w:cs="Arial"/>
          <w:bCs/>
          <w:lang w:val="en-US"/>
        </w:rPr>
      </w:pPr>
      <w:r>
        <w:rPr>
          <w:rFonts w:cs="Arial"/>
          <w:bCs/>
          <w:vertAlign w:val="superscript"/>
          <w:lang w:val="en-US"/>
        </w:rPr>
        <w:t>d</w:t>
      </w:r>
      <w:r w:rsidR="00294A5F" w:rsidRPr="00874ABA">
        <w:rPr>
          <w:rFonts w:cs="Arial"/>
          <w:bCs/>
          <w:lang w:val="en-US"/>
        </w:rPr>
        <w:t xml:space="preserve"> Missing data for participants in active drug groups were imputed using the copy increment from the reference method. The missing data for participants still active in the placebo-controlled period on March 20, 2019, were imputed using the missing at random method, except for a portion that were assumed to be potential dropout if the study had not been terminated and were imputed using the copy increment from the reference method.</w:t>
      </w:r>
    </w:p>
    <w:p w14:paraId="48112DC2" w14:textId="5FFB8F7D" w:rsidR="00294A5F" w:rsidRPr="00874ABA" w:rsidRDefault="00655552" w:rsidP="00294A5F">
      <w:pPr>
        <w:pStyle w:val="Bulletlevel4"/>
        <w:numPr>
          <w:ilvl w:val="0"/>
          <w:numId w:val="0"/>
        </w:numPr>
        <w:spacing w:line="480" w:lineRule="auto"/>
        <w:rPr>
          <w:rFonts w:cs="Arial"/>
          <w:bCs/>
          <w:lang w:val="en-US"/>
        </w:rPr>
      </w:pPr>
      <w:r>
        <w:rPr>
          <w:rFonts w:cs="Arial"/>
          <w:bCs/>
          <w:vertAlign w:val="superscript"/>
          <w:lang w:val="en-US"/>
        </w:rPr>
        <w:t>e</w:t>
      </w:r>
      <w:r w:rsidR="00294A5F" w:rsidRPr="00874ABA">
        <w:rPr>
          <w:rFonts w:cs="Arial"/>
          <w:bCs/>
          <w:lang w:val="en-US"/>
        </w:rPr>
        <w:t xml:space="preserve"> Missing data for participants in active drug groups was imputed using the jump to reference method. The missing data for participants still active in the placebo-controlled period on March 20, 2019, were imputed using the missing at random method, except for a portion that were assumed to be potential dropout if the study had not been terminated and were imputed using the jump to reference method.</w:t>
      </w:r>
    </w:p>
    <w:p w14:paraId="56153967" w14:textId="75CFA750" w:rsidR="00294A5F" w:rsidRPr="00874ABA" w:rsidRDefault="00655552" w:rsidP="00294A5F">
      <w:pPr>
        <w:pStyle w:val="Bulletlevel4"/>
        <w:numPr>
          <w:ilvl w:val="0"/>
          <w:numId w:val="0"/>
        </w:numPr>
        <w:spacing w:line="480" w:lineRule="auto"/>
        <w:rPr>
          <w:rFonts w:cs="Arial"/>
          <w:bCs/>
          <w:lang w:val="en-US"/>
        </w:rPr>
      </w:pPr>
      <w:r>
        <w:rPr>
          <w:rFonts w:cs="Arial"/>
          <w:bCs/>
          <w:vertAlign w:val="superscript"/>
          <w:lang w:val="en-US"/>
        </w:rPr>
        <w:t>f</w:t>
      </w:r>
      <w:r w:rsidR="00294A5F" w:rsidRPr="00874ABA">
        <w:rPr>
          <w:rFonts w:cs="Arial"/>
          <w:bCs/>
          <w:lang w:val="en-US"/>
        </w:rPr>
        <w:t xml:space="preserve"> An MMRM was fitted based on the log-transformed data, and the results were then transformed back to the original scale. The </w:t>
      </w:r>
      <w:r w:rsidR="00294A5F" w:rsidRPr="00874ABA">
        <w:rPr>
          <w:rFonts w:cs="Arial"/>
          <w:bCs/>
          <w:i/>
          <w:iCs/>
          <w:lang w:val="en-US"/>
        </w:rPr>
        <w:t>P</w:t>
      </w:r>
      <w:r w:rsidR="00294A5F" w:rsidRPr="00874ABA">
        <w:rPr>
          <w:rFonts w:cs="Arial"/>
          <w:bCs/>
          <w:lang w:val="en-US"/>
        </w:rPr>
        <w:t xml:space="preserve"> values are for the difference at the log scale.</w:t>
      </w:r>
    </w:p>
    <w:p w14:paraId="0747FAAA" w14:textId="0938ACD3" w:rsidR="00294A5F" w:rsidRPr="00874ABA" w:rsidRDefault="00655552" w:rsidP="00294A5F">
      <w:pPr>
        <w:pStyle w:val="Bulletlevel4"/>
        <w:numPr>
          <w:ilvl w:val="0"/>
          <w:numId w:val="0"/>
        </w:numPr>
        <w:spacing w:line="480" w:lineRule="auto"/>
        <w:rPr>
          <w:rFonts w:cs="Arial"/>
          <w:bCs/>
          <w:lang w:val="en-US"/>
        </w:rPr>
      </w:pPr>
      <w:r>
        <w:rPr>
          <w:rFonts w:cs="Arial"/>
          <w:bCs/>
          <w:vertAlign w:val="superscript"/>
          <w:lang w:val="en-US"/>
        </w:rPr>
        <w:lastRenderedPageBreak/>
        <w:t>g</w:t>
      </w:r>
      <w:r w:rsidR="00294A5F" w:rsidRPr="00874ABA">
        <w:rPr>
          <w:rFonts w:cs="Arial"/>
          <w:bCs/>
          <w:lang w:val="en-US"/>
        </w:rPr>
        <w:t xml:space="preserve"> Nonparametric test </w:t>
      </w:r>
      <w:r w:rsidR="00294A5F" w:rsidRPr="00874ABA">
        <w:rPr>
          <w:rFonts w:cs="Arial"/>
          <w:bCs/>
          <w:i/>
          <w:iCs/>
          <w:lang w:val="en-US"/>
        </w:rPr>
        <w:t>P</w:t>
      </w:r>
      <w:r w:rsidR="00294A5F" w:rsidRPr="00874ABA">
        <w:rPr>
          <w:rFonts w:cs="Arial"/>
          <w:bCs/>
          <w:lang w:val="en-US"/>
        </w:rPr>
        <w:t xml:space="preserve"> values were from a rank analysis of covariance model of the change from baseline CDR-SB at week 78 based on a data set imputed with multiple imputations. Hodges-Lehmann estimator of median difference at week 78 was calculated based on a data set imputed with multiple imputations.</w:t>
      </w:r>
    </w:p>
    <w:p w14:paraId="609F4D24" w14:textId="1E8AD759" w:rsidR="00A86A4F" w:rsidRDefault="00294A5F" w:rsidP="000C69E5">
      <w:pPr>
        <w:pStyle w:val="Text"/>
        <w:spacing w:line="480" w:lineRule="auto"/>
        <w:rPr>
          <w:rFonts w:cs="Arial"/>
          <w:sz w:val="23"/>
          <w:szCs w:val="23"/>
        </w:rPr>
      </w:pPr>
      <w:r w:rsidRPr="00874ABA">
        <w:rPr>
          <w:rFonts w:cs="Arial"/>
          <w:sz w:val="23"/>
          <w:szCs w:val="23"/>
        </w:rPr>
        <w:t>AD, Alzheimer</w:t>
      </w:r>
      <w:r w:rsidRPr="00874ABA">
        <w:rPr>
          <w:lang w:val="en-US"/>
        </w:rPr>
        <w:t>’s</w:t>
      </w:r>
      <w:r w:rsidRPr="00874ABA">
        <w:rPr>
          <w:rFonts w:cs="Arial"/>
          <w:sz w:val="23"/>
          <w:szCs w:val="23"/>
        </w:rPr>
        <w:t xml:space="preserve"> disease; ApoE, apolipoprotein E; </w:t>
      </w:r>
      <w:r w:rsidRPr="00874ABA">
        <w:rPr>
          <w:bCs/>
          <w:lang w:val="en-US"/>
        </w:rPr>
        <w:t xml:space="preserve">CDR-SB, Clinical Dementia Rating Scale–sum of boxes; </w:t>
      </w:r>
      <w:r w:rsidRPr="00874ABA">
        <w:rPr>
          <w:rFonts w:cs="Arial"/>
          <w:sz w:val="23"/>
          <w:szCs w:val="23"/>
        </w:rPr>
        <w:t>MMRM, mixed model for repeated measure; MMSE, Mini Mental State Examination.</w:t>
      </w:r>
    </w:p>
    <w:p w14:paraId="6A2177E0" w14:textId="77777777" w:rsidR="000C69E5" w:rsidRDefault="000C69E5" w:rsidP="000C69E5">
      <w:pPr>
        <w:pStyle w:val="Text"/>
        <w:spacing w:line="480" w:lineRule="auto"/>
        <w:rPr>
          <w:b/>
          <w:lang w:val="en-US"/>
        </w:rPr>
      </w:pPr>
    </w:p>
    <w:p w14:paraId="6FEA0C35" w14:textId="2A96CEFA" w:rsidR="00A86A4F" w:rsidRDefault="00C90DE8" w:rsidP="00A86A4F">
      <w:pPr>
        <w:pStyle w:val="Bulletlevel4"/>
        <w:numPr>
          <w:ilvl w:val="0"/>
          <w:numId w:val="0"/>
        </w:numPr>
        <w:spacing w:line="480" w:lineRule="auto"/>
        <w:rPr>
          <w:b/>
          <w:lang w:val="en-US"/>
        </w:rPr>
      </w:pPr>
      <w:r>
        <w:rPr>
          <w:noProof/>
        </w:rPr>
        <w:drawing>
          <wp:inline distT="0" distB="0" distL="0" distR="0" wp14:anchorId="768F1B31" wp14:editId="530E263F">
            <wp:extent cx="5738633" cy="5581816"/>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3"/>
                    <a:stretch>
                      <a:fillRect/>
                    </a:stretch>
                  </pic:blipFill>
                  <pic:spPr>
                    <a:xfrm>
                      <a:off x="0" y="0"/>
                      <a:ext cx="5739914" cy="5583062"/>
                    </a:xfrm>
                    <a:prstGeom prst="rect">
                      <a:avLst/>
                    </a:prstGeom>
                  </pic:spPr>
                </pic:pic>
              </a:graphicData>
            </a:graphic>
          </wp:inline>
        </w:drawing>
      </w:r>
    </w:p>
    <w:p w14:paraId="298445AC" w14:textId="77777777" w:rsidR="00A86A4F" w:rsidRDefault="00A86A4F">
      <w:pPr>
        <w:spacing w:after="160" w:line="259" w:lineRule="auto"/>
        <w:rPr>
          <w:b/>
          <w:lang w:val="en-US" w:eastAsia="en-US"/>
        </w:rPr>
      </w:pPr>
      <w:r>
        <w:rPr>
          <w:b/>
          <w:lang w:val="en-US"/>
        </w:rPr>
        <w:br w:type="page"/>
      </w:r>
    </w:p>
    <w:p w14:paraId="5FD30D3A" w14:textId="00E342BF" w:rsidR="00A86A4F" w:rsidRPr="00874ABA" w:rsidRDefault="00A86A4F" w:rsidP="00A86A4F">
      <w:pPr>
        <w:pStyle w:val="Bulletlevel4"/>
        <w:numPr>
          <w:ilvl w:val="0"/>
          <w:numId w:val="0"/>
        </w:numPr>
        <w:spacing w:line="480" w:lineRule="auto"/>
        <w:rPr>
          <w:rFonts w:cs="Arial"/>
        </w:rPr>
      </w:pPr>
      <w:r w:rsidRPr="00874ABA">
        <w:rPr>
          <w:b/>
          <w:lang w:val="en-US"/>
        </w:rPr>
        <w:lastRenderedPageBreak/>
        <w:t xml:space="preserve">Supplemental </w:t>
      </w:r>
      <w:r w:rsidRPr="00874ABA">
        <w:rPr>
          <w:rFonts w:cs="Arial"/>
          <w:b/>
        </w:rPr>
        <w:t xml:space="preserve">Data Table </w:t>
      </w:r>
      <w:r>
        <w:rPr>
          <w:rFonts w:cs="Arial"/>
          <w:b/>
        </w:rPr>
        <w:t>3</w:t>
      </w:r>
      <w:r w:rsidRPr="00874ABA">
        <w:rPr>
          <w:rFonts w:cs="Arial"/>
          <w:b/>
        </w:rPr>
        <w:t xml:space="preserve"> Summary of CDR-SB data in final data set compared with futility OTC </w:t>
      </w:r>
      <w:r w:rsidRPr="00874ABA">
        <w:rPr>
          <w:rFonts w:cs="Arial"/>
          <w:noProof/>
        </w:rPr>
        <w:t xml:space="preserve">  </w:t>
      </w:r>
    </w:p>
    <w:p w14:paraId="38FC451C" w14:textId="77777777" w:rsidR="000C69E5" w:rsidRDefault="00A86A4F" w:rsidP="00A86A4F">
      <w:pPr>
        <w:spacing w:line="480" w:lineRule="auto"/>
        <w:rPr>
          <w:noProof/>
        </w:rPr>
      </w:pPr>
      <w:r w:rsidRPr="00874ABA">
        <w:t>CDR-SB, Clinical Dementia Rating Scale–</w:t>
      </w:r>
      <w:r w:rsidRPr="00874ABA">
        <w:rPr>
          <w:rFonts w:cs="Arial"/>
          <w:bCs/>
        </w:rPr>
        <w:t>s</w:t>
      </w:r>
      <w:r w:rsidRPr="00874ABA">
        <w:t xml:space="preserve">um of </w:t>
      </w:r>
      <w:r w:rsidRPr="00874ABA">
        <w:rPr>
          <w:rFonts w:cs="Arial"/>
          <w:bCs/>
        </w:rPr>
        <w:t>boxes; futility</w:t>
      </w:r>
      <w:r w:rsidRPr="00874ABA">
        <w:t xml:space="preserve"> OTC</w:t>
      </w:r>
      <w:r w:rsidRPr="00874ABA">
        <w:rPr>
          <w:rFonts w:cs="Arial"/>
          <w:bCs/>
        </w:rPr>
        <w:t>,</w:t>
      </w:r>
      <w:r w:rsidRPr="00874ABA">
        <w:t xml:space="preserve"> opportunity to complete</w:t>
      </w:r>
      <w:r w:rsidRPr="00874ABA">
        <w:rPr>
          <w:rFonts w:cs="Arial"/>
          <w:bCs/>
        </w:rPr>
        <w:t xml:space="preserve"> Week 78 by futility analysis cut-off.</w:t>
      </w:r>
      <w:r w:rsidRPr="00A86A4F">
        <w:rPr>
          <w:noProof/>
        </w:rPr>
        <w:t xml:space="preserve"> </w:t>
      </w:r>
    </w:p>
    <w:p w14:paraId="6DDC26D9" w14:textId="77777777" w:rsidR="000C69E5" w:rsidRDefault="000C69E5" w:rsidP="00A86A4F">
      <w:pPr>
        <w:spacing w:line="480" w:lineRule="auto"/>
        <w:rPr>
          <w:noProof/>
        </w:rPr>
      </w:pPr>
    </w:p>
    <w:p w14:paraId="5F405D65" w14:textId="77777777" w:rsidR="000C69E5" w:rsidRDefault="000C69E5" w:rsidP="00A86A4F">
      <w:pPr>
        <w:spacing w:line="480" w:lineRule="auto"/>
        <w:rPr>
          <w:noProof/>
        </w:rPr>
      </w:pPr>
    </w:p>
    <w:p w14:paraId="3EAF4A34" w14:textId="31CB4C71" w:rsidR="00A86A4F" w:rsidRDefault="00A86A4F" w:rsidP="00A86A4F">
      <w:pPr>
        <w:spacing w:line="480" w:lineRule="auto"/>
        <w:rPr>
          <w:rFonts w:cs="Arial"/>
          <w:bCs/>
        </w:rPr>
      </w:pPr>
      <w:r>
        <w:rPr>
          <w:noProof/>
        </w:rPr>
        <w:drawing>
          <wp:inline distT="0" distB="0" distL="0" distR="0" wp14:anchorId="6CFAA410" wp14:editId="6674DA3E">
            <wp:extent cx="5718939" cy="5850577"/>
            <wp:effectExtent l="0" t="0" r="0" b="0"/>
            <wp:docPr id="6" name="Picture 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3418" cy="5855159"/>
                    </a:xfrm>
                    <a:prstGeom prst="rect">
                      <a:avLst/>
                    </a:prstGeom>
                    <a:noFill/>
                  </pic:spPr>
                </pic:pic>
              </a:graphicData>
            </a:graphic>
          </wp:inline>
        </w:drawing>
      </w:r>
    </w:p>
    <w:p w14:paraId="434FB93B" w14:textId="77777777" w:rsidR="00294A5F" w:rsidRPr="00874ABA" w:rsidRDefault="00294A5F" w:rsidP="00294A5F">
      <w:pPr>
        <w:spacing w:line="480" w:lineRule="auto"/>
        <w:rPr>
          <w:rFonts w:cs="Arial"/>
          <w:b/>
          <w:lang w:eastAsia="en-US"/>
        </w:rPr>
      </w:pPr>
      <w:r w:rsidRPr="00874ABA">
        <w:rPr>
          <w:rFonts w:cs="Arial"/>
          <w:b/>
        </w:rPr>
        <w:br w:type="page"/>
      </w:r>
    </w:p>
    <w:p w14:paraId="6481EEBD" w14:textId="31B09968" w:rsidR="00294A5F" w:rsidRPr="00874ABA" w:rsidRDefault="00294A5F" w:rsidP="00294A5F">
      <w:pPr>
        <w:pStyle w:val="Text"/>
        <w:spacing w:line="480" w:lineRule="auto"/>
        <w:rPr>
          <w:b/>
          <w:lang w:val="en-US"/>
        </w:rPr>
        <w:sectPr w:rsidR="00294A5F" w:rsidRPr="00874ABA" w:rsidSect="000C69E5">
          <w:pgSz w:w="11906" w:h="16838" w:code="9"/>
          <w:pgMar w:top="720" w:right="720" w:bottom="720" w:left="720" w:header="288" w:footer="720" w:gutter="0"/>
          <w:cols w:space="720"/>
          <w:docGrid w:linePitch="326"/>
        </w:sectPr>
      </w:pPr>
    </w:p>
    <w:p w14:paraId="67B0AE7C" w14:textId="5F22CFC2" w:rsidR="00294A5F" w:rsidRDefault="001674E1" w:rsidP="00294A5F">
      <w:pPr>
        <w:pStyle w:val="Text"/>
        <w:spacing w:line="480" w:lineRule="auto"/>
        <w:rPr>
          <w:b/>
          <w:lang w:val="en-US"/>
        </w:rPr>
      </w:pPr>
      <w:r w:rsidRPr="00874ABA">
        <w:rPr>
          <w:b/>
          <w:lang w:val="en-US"/>
        </w:rPr>
        <w:lastRenderedPageBreak/>
        <w:t xml:space="preserve">Supplemental </w:t>
      </w:r>
      <w:r w:rsidR="00294A5F" w:rsidRPr="00874ABA">
        <w:rPr>
          <w:b/>
          <w:lang w:val="en-US"/>
        </w:rPr>
        <w:t xml:space="preserve">Data Table </w:t>
      </w:r>
      <w:r w:rsidR="00D15D32" w:rsidRPr="00874ABA">
        <w:rPr>
          <w:b/>
          <w:bCs/>
          <w:lang w:val="en-US"/>
        </w:rPr>
        <w:t>4</w:t>
      </w:r>
      <w:r w:rsidR="00294A5F" w:rsidRPr="00874ABA">
        <w:rPr>
          <w:lang w:val="en-US"/>
        </w:rPr>
        <w:t xml:space="preserve"> </w:t>
      </w:r>
      <w:r w:rsidR="00294A5F" w:rsidRPr="00874ABA">
        <w:rPr>
          <w:b/>
          <w:lang w:val="en-US"/>
        </w:rPr>
        <w:t xml:space="preserve">Proportion of patients in EMERGE and ENGAGE with amyloid PET composite SUVR </w:t>
      </w:r>
      <w:r w:rsidR="00294A5F" w:rsidRPr="00874ABA">
        <w:rPr>
          <w:rFonts w:cs="Arial"/>
          <w:b/>
          <w:lang w:val="en-US"/>
        </w:rPr>
        <w:t>≤</w:t>
      </w:r>
      <w:r w:rsidR="00294A5F" w:rsidRPr="00874ABA">
        <w:rPr>
          <w:b/>
          <w:lang w:val="en-US"/>
        </w:rPr>
        <w:t>1.10 at week 78</w:t>
      </w:r>
    </w:p>
    <w:p w14:paraId="507ABAD3" w14:textId="77777777" w:rsidR="000C69E5" w:rsidRDefault="000C69E5" w:rsidP="00294A5F">
      <w:pPr>
        <w:pStyle w:val="Text"/>
        <w:spacing w:line="480" w:lineRule="auto"/>
        <w:rPr>
          <w:b/>
          <w:lang w:val="en-US"/>
        </w:rPr>
      </w:pPr>
    </w:p>
    <w:p w14:paraId="242A47F1" w14:textId="77777777" w:rsidR="000C69E5" w:rsidRPr="00874ABA" w:rsidRDefault="000C69E5" w:rsidP="00294A5F">
      <w:pPr>
        <w:pStyle w:val="Text"/>
        <w:spacing w:line="480" w:lineRule="auto"/>
        <w:rPr>
          <w:lang w:val="en-US" w:eastAsia="en-GB"/>
        </w:rPr>
      </w:pPr>
    </w:p>
    <w:p w14:paraId="0022C57C" w14:textId="64811F83" w:rsidR="00294A5F" w:rsidRPr="00874ABA" w:rsidRDefault="00294A5F" w:rsidP="00294A5F">
      <w:pPr>
        <w:spacing w:line="480" w:lineRule="auto"/>
        <w:rPr>
          <w:bCs/>
          <w:lang w:val="en-US"/>
        </w:rPr>
      </w:pPr>
      <w:r w:rsidRPr="00874ABA">
        <w:rPr>
          <w:bCs/>
          <w:lang w:val="en-US"/>
        </w:rPr>
        <w:t>PET, positron emission tomography; SUVR, standardized uptake value ratio.</w:t>
      </w:r>
      <w:r w:rsidR="00A86A4F" w:rsidRPr="00A86A4F">
        <w:rPr>
          <w:noProof/>
        </w:rPr>
        <w:t xml:space="preserve"> </w:t>
      </w:r>
      <w:r w:rsidR="00704630">
        <w:rPr>
          <w:noProof/>
        </w:rPr>
        <w:drawing>
          <wp:inline distT="0" distB="0" distL="0" distR="0" wp14:anchorId="16856652" wp14:editId="0DBC3B19">
            <wp:extent cx="6043520" cy="2319099"/>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64202" cy="2327035"/>
                    </a:xfrm>
                    <a:prstGeom prst="rect">
                      <a:avLst/>
                    </a:prstGeom>
                    <a:noFill/>
                  </pic:spPr>
                </pic:pic>
              </a:graphicData>
            </a:graphic>
          </wp:inline>
        </w:drawing>
      </w:r>
    </w:p>
    <w:p w14:paraId="50FED1E1" w14:textId="77777777" w:rsidR="00294A5F" w:rsidRPr="00874ABA" w:rsidRDefault="00294A5F" w:rsidP="00294A5F">
      <w:pPr>
        <w:spacing w:after="160" w:line="259" w:lineRule="auto"/>
        <w:rPr>
          <w:bCs/>
          <w:lang w:val="en-US"/>
        </w:rPr>
      </w:pPr>
      <w:r w:rsidRPr="00874ABA">
        <w:rPr>
          <w:bCs/>
          <w:lang w:val="en-US"/>
        </w:rPr>
        <w:br w:type="page"/>
      </w:r>
    </w:p>
    <w:p w14:paraId="5AC6888B" w14:textId="1AF5BD25" w:rsidR="00294A5F" w:rsidRPr="00874ABA" w:rsidRDefault="001674E1" w:rsidP="00294A5F">
      <w:pPr>
        <w:rPr>
          <w:rFonts w:ascii="Calibri" w:hAnsi="Calibri"/>
          <w:b/>
          <w:bCs/>
          <w:lang w:val="en-US" w:eastAsia="en-US"/>
        </w:rPr>
      </w:pPr>
      <w:r w:rsidRPr="00874ABA">
        <w:rPr>
          <w:b/>
          <w:lang w:val="en-US"/>
        </w:rPr>
        <w:lastRenderedPageBreak/>
        <w:t xml:space="preserve">Supplemental </w:t>
      </w:r>
      <w:r w:rsidR="00294A5F" w:rsidRPr="00874ABA">
        <w:rPr>
          <w:b/>
          <w:bCs/>
        </w:rPr>
        <w:t xml:space="preserve">Data Table </w:t>
      </w:r>
      <w:r w:rsidR="00D15D32" w:rsidRPr="00874ABA">
        <w:rPr>
          <w:b/>
          <w:bCs/>
        </w:rPr>
        <w:t>5</w:t>
      </w:r>
      <w:r w:rsidR="00294A5F" w:rsidRPr="00874ABA">
        <w:rPr>
          <w:b/>
          <w:bCs/>
        </w:rPr>
        <w:t xml:space="preserve"> Serious symptoms of ARIA</w:t>
      </w:r>
    </w:p>
    <w:p w14:paraId="0D7122A0" w14:textId="77777777" w:rsidR="00294A5F" w:rsidRPr="00874ABA" w:rsidRDefault="00294A5F" w:rsidP="00294A5F">
      <w:pPr>
        <w:rPr>
          <w:rFonts w:ascii="Calibri" w:hAnsi="Calibri"/>
          <w:lang w:val="en-US" w:eastAsia="en-US"/>
        </w:rPr>
      </w:pPr>
      <w:r w:rsidRPr="00874ABA">
        <w:t>The EMERGE and ENGAGE safety MRI population includes</w:t>
      </w:r>
      <w:r w:rsidRPr="00874ABA">
        <w:rPr>
          <w:lang w:val="en-US"/>
        </w:rPr>
        <w:t xml:space="preserve"> all randomized participants who received at least one dose of study treatment and had at least one postbaseline MRI assessment.</w:t>
      </w:r>
    </w:p>
    <w:p w14:paraId="484A1DB4" w14:textId="77777777" w:rsidR="00294A5F" w:rsidRPr="00874ABA" w:rsidRDefault="00294A5F" w:rsidP="00294A5F">
      <w:proofErr w:type="spellStart"/>
      <w:r w:rsidRPr="00874ABA">
        <w:rPr>
          <w:vertAlign w:val="superscript"/>
        </w:rPr>
        <w:t>a</w:t>
      </w:r>
      <w:proofErr w:type="spellEnd"/>
      <w:r w:rsidRPr="00874ABA">
        <w:t xml:space="preserve"> Includes all SAEs considered related to ARIA by the investigator, </w:t>
      </w:r>
      <w:proofErr w:type="gramStart"/>
      <w:r w:rsidRPr="00874ABA">
        <w:t>whether or not</w:t>
      </w:r>
      <w:proofErr w:type="gramEnd"/>
      <w:r w:rsidRPr="00874ABA">
        <w:t xml:space="preserve"> the event temporally overlapped with an ARIA episode (the case of delirium was not concurrent with ARIA).</w:t>
      </w:r>
    </w:p>
    <w:p w14:paraId="35DD8523" w14:textId="77777777" w:rsidR="000C69E5" w:rsidRDefault="00294A5F" w:rsidP="00294A5F">
      <w:r w:rsidRPr="00874ABA">
        <w:t>adu, aducanumab; ARIA, amyloid-related imaging abnormalities.</w:t>
      </w:r>
    </w:p>
    <w:p w14:paraId="5E626A77" w14:textId="6E6F3718" w:rsidR="00294A5F" w:rsidRPr="00874ABA" w:rsidRDefault="00294A5F" w:rsidP="00294A5F"/>
    <w:p w14:paraId="009B3C8A" w14:textId="3BA187EF" w:rsidR="00294A5F" w:rsidRPr="00874ABA" w:rsidRDefault="000C69E5" w:rsidP="00294A5F">
      <w:pPr>
        <w:spacing w:after="160" w:line="259" w:lineRule="auto"/>
      </w:pPr>
      <w:r>
        <w:rPr>
          <w:noProof/>
        </w:rPr>
        <w:drawing>
          <wp:anchor distT="0" distB="0" distL="114300" distR="114300" simplePos="0" relativeHeight="251658240" behindDoc="0" locked="0" layoutInCell="1" allowOverlap="1" wp14:anchorId="22E69D89" wp14:editId="3EE8AB2C">
            <wp:simplePos x="0" y="0"/>
            <wp:positionH relativeFrom="margin">
              <wp:align>left</wp:align>
            </wp:positionH>
            <wp:positionV relativeFrom="paragraph">
              <wp:posOffset>273630</wp:posOffset>
            </wp:positionV>
            <wp:extent cx="5217561" cy="2239296"/>
            <wp:effectExtent l="0" t="0" r="254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7561" cy="2239296"/>
                    </a:xfrm>
                    <a:prstGeom prst="rect">
                      <a:avLst/>
                    </a:prstGeom>
                    <a:noFill/>
                  </pic:spPr>
                </pic:pic>
              </a:graphicData>
            </a:graphic>
            <wp14:sizeRelH relativeFrom="page">
              <wp14:pctWidth>0</wp14:pctWidth>
            </wp14:sizeRelH>
            <wp14:sizeRelV relativeFrom="page">
              <wp14:pctHeight>0</wp14:pctHeight>
            </wp14:sizeRelV>
          </wp:anchor>
        </w:drawing>
      </w:r>
      <w:r w:rsidR="00294A5F" w:rsidRPr="00874ABA">
        <w:br w:type="page"/>
      </w:r>
    </w:p>
    <w:p w14:paraId="5E6E1D6C" w14:textId="606607C3" w:rsidR="00294A5F" w:rsidRPr="00874ABA" w:rsidRDefault="001674E1" w:rsidP="00294A5F">
      <w:pPr>
        <w:rPr>
          <w:rFonts w:ascii="Calibri" w:hAnsi="Calibri"/>
          <w:b/>
          <w:bCs/>
          <w:lang w:val="en-US" w:eastAsia="en-US"/>
        </w:rPr>
      </w:pPr>
      <w:r w:rsidRPr="00874ABA">
        <w:rPr>
          <w:b/>
          <w:lang w:val="en-US"/>
        </w:rPr>
        <w:lastRenderedPageBreak/>
        <w:t xml:space="preserve">Supplemental </w:t>
      </w:r>
      <w:r w:rsidR="00294A5F" w:rsidRPr="00874ABA">
        <w:rPr>
          <w:b/>
          <w:bCs/>
        </w:rPr>
        <w:t xml:space="preserve">Data Table </w:t>
      </w:r>
      <w:r w:rsidR="00D15D32" w:rsidRPr="00874ABA">
        <w:rPr>
          <w:b/>
          <w:bCs/>
        </w:rPr>
        <w:t>6</w:t>
      </w:r>
      <w:r w:rsidR="00294A5F" w:rsidRPr="00874ABA">
        <w:rPr>
          <w:b/>
          <w:bCs/>
        </w:rPr>
        <w:t xml:space="preserve"> Severe ARIA symptoms during an ARIA episode</w:t>
      </w:r>
    </w:p>
    <w:p w14:paraId="416BA748" w14:textId="77777777" w:rsidR="00294A5F" w:rsidRPr="00874ABA" w:rsidRDefault="00294A5F" w:rsidP="00294A5F">
      <w:pPr>
        <w:rPr>
          <w:rFonts w:ascii="Calibri" w:hAnsi="Calibri"/>
          <w:lang w:val="en-US" w:eastAsia="en-US"/>
        </w:rPr>
      </w:pPr>
      <w:r w:rsidRPr="00874ABA">
        <w:t>The EMERGE and ENGAGE safety MRI population includes</w:t>
      </w:r>
      <w:r w:rsidRPr="00874ABA">
        <w:rPr>
          <w:lang w:val="en-US"/>
        </w:rPr>
        <w:t xml:space="preserve"> all randomized participants who received at least one dose of study treatment and had at least one postbaseline MRI assessment.</w:t>
      </w:r>
    </w:p>
    <w:p w14:paraId="59FD3B70" w14:textId="77777777" w:rsidR="00294A5F" w:rsidRPr="00874ABA" w:rsidRDefault="00294A5F" w:rsidP="00294A5F">
      <w:pPr>
        <w:rPr>
          <w:rFonts w:ascii="Calibri" w:hAnsi="Calibri"/>
          <w:lang w:val="en-US" w:eastAsia="en-US"/>
        </w:rPr>
      </w:pPr>
      <w:r w:rsidRPr="00874ABA">
        <w:rPr>
          <w:b/>
          <w:bCs/>
          <w:vertAlign w:val="superscript"/>
        </w:rPr>
        <w:t xml:space="preserve">a </w:t>
      </w:r>
      <w:r w:rsidRPr="00874ABA">
        <w:t>One additional subject in the high dose group experienced a severe AE of delirium that was marked as an ARIA symptom but did not temporally overlap with an ARIA episode.</w:t>
      </w:r>
    </w:p>
    <w:p w14:paraId="62DE2010" w14:textId="79035D17" w:rsidR="00294A5F" w:rsidRPr="00874ABA" w:rsidRDefault="00294A5F" w:rsidP="00294A5F">
      <w:r w:rsidRPr="00874ABA">
        <w:t>adu, aducanumab; ARIA, amyloid-related imaging abnormalities.</w:t>
      </w:r>
    </w:p>
    <w:p w14:paraId="7E80E09F" w14:textId="09B912AD" w:rsidR="00294A5F" w:rsidRPr="00874ABA" w:rsidRDefault="00294A5F" w:rsidP="00294A5F"/>
    <w:p w14:paraId="313639A9" w14:textId="11173F9B" w:rsidR="00294A5F" w:rsidRPr="00874ABA" w:rsidRDefault="000C69E5" w:rsidP="00294A5F">
      <w:pPr>
        <w:spacing w:line="480" w:lineRule="auto"/>
        <w:rPr>
          <w:lang w:val="en-US"/>
        </w:rPr>
      </w:pPr>
      <w:r>
        <w:rPr>
          <w:noProof/>
        </w:rPr>
        <w:drawing>
          <wp:anchor distT="0" distB="0" distL="114300" distR="114300" simplePos="0" relativeHeight="251659264" behindDoc="0" locked="0" layoutInCell="1" allowOverlap="1" wp14:anchorId="29F60106" wp14:editId="43EFE7B6">
            <wp:simplePos x="0" y="0"/>
            <wp:positionH relativeFrom="margin">
              <wp:align>left</wp:align>
            </wp:positionH>
            <wp:positionV relativeFrom="paragraph">
              <wp:posOffset>241825</wp:posOffset>
            </wp:positionV>
            <wp:extent cx="5705475" cy="3759835"/>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5475" cy="3759835"/>
                    </a:xfrm>
                    <a:prstGeom prst="rect">
                      <a:avLst/>
                    </a:prstGeom>
                    <a:noFill/>
                  </pic:spPr>
                </pic:pic>
              </a:graphicData>
            </a:graphic>
            <wp14:sizeRelH relativeFrom="page">
              <wp14:pctWidth>0</wp14:pctWidth>
            </wp14:sizeRelH>
            <wp14:sizeRelV relativeFrom="page">
              <wp14:pctHeight>0</wp14:pctHeight>
            </wp14:sizeRelV>
          </wp:anchor>
        </w:drawing>
      </w:r>
    </w:p>
    <w:p w14:paraId="084ED2A7" w14:textId="77777777" w:rsidR="00294A5F" w:rsidRPr="00874ABA" w:rsidRDefault="00294A5F" w:rsidP="00294A5F">
      <w:pPr>
        <w:spacing w:line="480" w:lineRule="auto"/>
        <w:rPr>
          <w:b/>
          <w:lang w:val="en-US"/>
        </w:rPr>
      </w:pPr>
      <w:r w:rsidRPr="00874ABA">
        <w:rPr>
          <w:b/>
          <w:lang w:val="en-US"/>
        </w:rPr>
        <w:br w:type="page"/>
      </w:r>
    </w:p>
    <w:p w14:paraId="52F4045E" w14:textId="77777777" w:rsidR="00294A5F" w:rsidRPr="00874ABA" w:rsidRDefault="00294A5F" w:rsidP="00294A5F">
      <w:pPr>
        <w:spacing w:line="480" w:lineRule="auto"/>
        <w:rPr>
          <w:b/>
          <w:lang w:val="en-US"/>
        </w:rPr>
        <w:sectPr w:rsidR="00294A5F" w:rsidRPr="00874ABA" w:rsidSect="000C69E5">
          <w:pgSz w:w="11906" w:h="16838" w:code="9"/>
          <w:pgMar w:top="720" w:right="720" w:bottom="720" w:left="720" w:header="288" w:footer="720" w:gutter="0"/>
          <w:cols w:space="720"/>
          <w:docGrid w:linePitch="326"/>
        </w:sectPr>
      </w:pPr>
    </w:p>
    <w:p w14:paraId="61C6F8B7" w14:textId="1CDEE8D6" w:rsidR="00D62336" w:rsidRPr="00874ABA" w:rsidRDefault="001674E1" w:rsidP="000C69E5">
      <w:pPr>
        <w:pStyle w:val="Bulletlevel4"/>
        <w:numPr>
          <w:ilvl w:val="0"/>
          <w:numId w:val="0"/>
        </w:numPr>
        <w:spacing w:line="480" w:lineRule="auto"/>
        <w:ind w:right="458"/>
        <w:rPr>
          <w:rFonts w:cs="Arial"/>
          <w:b/>
        </w:rPr>
      </w:pPr>
      <w:r w:rsidRPr="00874ABA">
        <w:rPr>
          <w:b/>
          <w:lang w:val="en-US"/>
        </w:rPr>
        <w:lastRenderedPageBreak/>
        <w:t xml:space="preserve">Supplemental </w:t>
      </w:r>
      <w:r w:rsidR="00D62336" w:rsidRPr="00874ABA">
        <w:rPr>
          <w:rFonts w:cs="Arial"/>
          <w:b/>
        </w:rPr>
        <w:t xml:space="preserve">Data Fig. </w:t>
      </w:r>
      <w:r w:rsidR="002F2585" w:rsidRPr="00874ABA">
        <w:rPr>
          <w:rFonts w:cs="Arial"/>
          <w:b/>
        </w:rPr>
        <w:t>1</w:t>
      </w:r>
      <w:r w:rsidR="00D62336" w:rsidRPr="00874ABA">
        <w:rPr>
          <w:rFonts w:cs="Arial"/>
          <w:b/>
        </w:rPr>
        <w:t xml:space="preserve"> EMERGE and ENGAGE dose regimen, </w:t>
      </w:r>
      <w:proofErr w:type="gramStart"/>
      <w:r w:rsidR="00D62336" w:rsidRPr="00874ABA">
        <w:rPr>
          <w:rFonts w:cs="Arial"/>
          <w:b/>
        </w:rPr>
        <w:t>enrollment</w:t>
      </w:r>
      <w:proofErr w:type="gramEnd"/>
      <w:r w:rsidR="00D62336" w:rsidRPr="00874ABA">
        <w:rPr>
          <w:rFonts w:cs="Arial"/>
          <w:b/>
        </w:rPr>
        <w:t xml:space="preserve"> and timing of key protocol </w:t>
      </w:r>
      <w:r w:rsidR="00211F8A">
        <w:rPr>
          <w:rFonts w:cs="Arial"/>
          <w:b/>
        </w:rPr>
        <w:t>amend</w:t>
      </w:r>
      <w:r w:rsidR="00D62336" w:rsidRPr="00874ABA">
        <w:rPr>
          <w:rFonts w:cs="Arial"/>
          <w:b/>
        </w:rPr>
        <w:t>ments</w:t>
      </w:r>
    </w:p>
    <w:p w14:paraId="29407AB8" w14:textId="77777777" w:rsidR="00D62336" w:rsidRPr="00874ABA" w:rsidRDefault="00D62336" w:rsidP="000C69E5">
      <w:pPr>
        <w:pStyle w:val="Bulletlevel4"/>
        <w:numPr>
          <w:ilvl w:val="0"/>
          <w:numId w:val="0"/>
        </w:numPr>
        <w:spacing w:line="480" w:lineRule="auto"/>
        <w:ind w:right="638"/>
        <w:rPr>
          <w:rFonts w:cs="Arial"/>
          <w:bCs/>
        </w:rPr>
      </w:pPr>
      <w:r w:rsidRPr="00874ABA">
        <w:rPr>
          <w:rFonts w:cs="Arial"/>
          <w:b/>
        </w:rPr>
        <w:t>Panel a</w:t>
      </w:r>
      <w:r w:rsidRPr="00874ABA">
        <w:rPr>
          <w:rFonts w:cs="Arial"/>
          <w:bCs/>
        </w:rPr>
        <w:t xml:space="preserve"> shows enrollment of patients and the timing of key protocol amendments relative to enrollment are shown. ENGAGE (blue line) began 1 month earlier than EMERGE (green line) and remained ahead in enrollment throughout the study. Recruitment was complete in both studies in July 2018. Two key protocol amendments affected dose. Protocol amendment 3 allowed some patients who had their dose suspended due to ARIA to have their dose re-titrated up to the originally assigned dose. Protocol amendment 4 allowed ApoE ε4 carriers to have their dose titrated to 10 mg/kg. The numbers of patients affected by the protocol amendments are approximate as the implementation of protocol changes occurred over time at different study sites. </w:t>
      </w:r>
      <w:r w:rsidRPr="00874ABA">
        <w:rPr>
          <w:rFonts w:cs="Arial"/>
          <w:b/>
        </w:rPr>
        <w:t>Panel b</w:t>
      </w:r>
      <w:r w:rsidRPr="00874ABA">
        <w:rPr>
          <w:rFonts w:cs="Arial"/>
          <w:bCs/>
        </w:rPr>
        <w:t xml:space="preserve"> shows the dose regimens from EMERGE and ENGAGE. The studies both used two dose regimens, stratified by ApoE ε4 carrier status. In the low-dose group, the dose for ApoE ε4 carriers (top panel) was titrated to aducanumab 3 mg/kg, and the dose for ApoE ε4 noncarriers (middle panel) was titrated to aducanumab 6 mg/kg. These dosing regimens were maintained throughout the study. At study start, the high-dose group (lower panel) was different for ApoE ε4 noncarriers, whose dose was titrated to aducanumab 10 mg/kg (purple line), and carriers, whose dose was titrated to aducanumab 6 mg/kg (green line). Following protocol amendment, the dose for ApoE ε4 carriers in the high-dose group was titrated to aducanumab 10 mg/kg (purple line). </w:t>
      </w:r>
    </w:p>
    <w:p w14:paraId="29B0B073" w14:textId="77777777" w:rsidR="00D62336" w:rsidRPr="00874ABA" w:rsidRDefault="00D62336" w:rsidP="000C69E5">
      <w:pPr>
        <w:pStyle w:val="Bulletlevel4"/>
        <w:numPr>
          <w:ilvl w:val="0"/>
          <w:numId w:val="0"/>
        </w:numPr>
        <w:spacing w:line="480" w:lineRule="auto"/>
        <w:ind w:right="458"/>
        <w:rPr>
          <w:rFonts w:cs="Arial"/>
          <w:bCs/>
        </w:rPr>
      </w:pPr>
      <w:r w:rsidRPr="00874ABA">
        <w:rPr>
          <w:rFonts w:cs="Arial"/>
          <w:bCs/>
        </w:rPr>
        <w:t xml:space="preserve">ApoE, apolipoprotein E; ApoE ε4−, noncarrier; ApoE ε4+, carrier; ARIA, amyloid-related imaging abnormalities. </w:t>
      </w:r>
    </w:p>
    <w:p w14:paraId="7A6DE9D1" w14:textId="77777777" w:rsidR="00D62336" w:rsidRPr="00874ABA" w:rsidRDefault="00D62336" w:rsidP="00D62336">
      <w:pPr>
        <w:spacing w:after="160" w:line="480" w:lineRule="auto"/>
        <w:rPr>
          <w:lang w:val="en-US"/>
        </w:rPr>
      </w:pPr>
    </w:p>
    <w:p w14:paraId="0BB87DCE" w14:textId="77777777" w:rsidR="002F2585" w:rsidRPr="00874ABA" w:rsidRDefault="002F2585" w:rsidP="00FA3910">
      <w:pPr>
        <w:pStyle w:val="Bulletlevel4"/>
        <w:numPr>
          <w:ilvl w:val="0"/>
          <w:numId w:val="0"/>
        </w:numPr>
        <w:spacing w:line="480" w:lineRule="auto"/>
        <w:rPr>
          <w:rFonts w:cs="Arial"/>
          <w:b/>
        </w:rPr>
        <w:sectPr w:rsidR="002F2585" w:rsidRPr="00874ABA" w:rsidSect="000C69E5">
          <w:type w:val="continuous"/>
          <w:pgSz w:w="11906" w:h="16838" w:code="9"/>
          <w:pgMar w:top="720" w:right="720" w:bottom="720" w:left="720" w:header="288" w:footer="720" w:gutter="0"/>
          <w:cols w:space="720"/>
          <w:docGrid w:linePitch="326"/>
        </w:sectPr>
      </w:pPr>
    </w:p>
    <w:p w14:paraId="41433EE1" w14:textId="77777777" w:rsidR="00FA3910" w:rsidRDefault="000C69E5" w:rsidP="000C69E5">
      <w:pPr>
        <w:spacing w:after="160" w:line="259" w:lineRule="auto"/>
        <w:rPr>
          <w:b/>
          <w:sz w:val="20"/>
          <w:lang w:val="en-US"/>
        </w:rPr>
      </w:pPr>
      <w:r>
        <w:rPr>
          <w:b/>
          <w:noProof/>
          <w:lang w:val="en-US"/>
        </w:rPr>
        <w:lastRenderedPageBreak/>
        <w:drawing>
          <wp:inline distT="0" distB="0" distL="0" distR="0" wp14:anchorId="0C789949" wp14:editId="716E1CC5">
            <wp:extent cx="6450330" cy="625475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0330" cy="6254750"/>
                    </a:xfrm>
                    <a:prstGeom prst="rect">
                      <a:avLst/>
                    </a:prstGeom>
                    <a:noFill/>
                  </pic:spPr>
                </pic:pic>
              </a:graphicData>
            </a:graphic>
          </wp:inline>
        </w:drawing>
      </w:r>
    </w:p>
    <w:p w14:paraId="43E5C14E" w14:textId="77777777" w:rsidR="000C69E5" w:rsidRDefault="000C69E5" w:rsidP="000C69E5">
      <w:pPr>
        <w:spacing w:after="160" w:line="259" w:lineRule="auto"/>
        <w:rPr>
          <w:b/>
          <w:sz w:val="20"/>
          <w:lang w:val="en-US"/>
        </w:rPr>
      </w:pPr>
    </w:p>
    <w:p w14:paraId="0812DBBA" w14:textId="77777777" w:rsidR="000C69E5" w:rsidRDefault="000C69E5" w:rsidP="000C69E5">
      <w:pPr>
        <w:spacing w:after="160" w:line="259" w:lineRule="auto"/>
        <w:rPr>
          <w:b/>
          <w:sz w:val="20"/>
          <w:lang w:val="en-US"/>
        </w:rPr>
      </w:pPr>
    </w:p>
    <w:p w14:paraId="260F788D" w14:textId="77777777" w:rsidR="000C69E5" w:rsidRDefault="000C69E5" w:rsidP="000C69E5">
      <w:pPr>
        <w:spacing w:after="160" w:line="259" w:lineRule="auto"/>
        <w:rPr>
          <w:b/>
          <w:sz w:val="20"/>
          <w:lang w:val="en-US"/>
        </w:rPr>
      </w:pPr>
    </w:p>
    <w:p w14:paraId="540E0506" w14:textId="77777777" w:rsidR="000C69E5" w:rsidRDefault="000C69E5" w:rsidP="000C69E5">
      <w:pPr>
        <w:spacing w:after="160" w:line="259" w:lineRule="auto"/>
        <w:rPr>
          <w:b/>
          <w:sz w:val="20"/>
          <w:lang w:val="en-US"/>
        </w:rPr>
      </w:pPr>
    </w:p>
    <w:p w14:paraId="737C219A" w14:textId="77777777" w:rsidR="000C69E5" w:rsidRDefault="000C69E5" w:rsidP="00FA3910">
      <w:pPr>
        <w:spacing w:line="480" w:lineRule="auto"/>
        <w:rPr>
          <w:b/>
          <w:lang w:val="en-US"/>
        </w:rPr>
      </w:pPr>
    </w:p>
    <w:p w14:paraId="40944097" w14:textId="77777777" w:rsidR="000C69E5" w:rsidRDefault="000C69E5" w:rsidP="00FA3910">
      <w:pPr>
        <w:spacing w:line="480" w:lineRule="auto"/>
        <w:rPr>
          <w:b/>
          <w:lang w:val="en-US"/>
        </w:rPr>
      </w:pPr>
    </w:p>
    <w:p w14:paraId="1FE1B1F7" w14:textId="77777777" w:rsidR="000C69E5" w:rsidRDefault="000C69E5" w:rsidP="00FA3910">
      <w:pPr>
        <w:spacing w:line="480" w:lineRule="auto"/>
        <w:rPr>
          <w:b/>
          <w:lang w:val="en-US"/>
        </w:rPr>
      </w:pPr>
    </w:p>
    <w:p w14:paraId="13B67C5C" w14:textId="77777777" w:rsidR="000C69E5" w:rsidRDefault="000C69E5" w:rsidP="00FA3910">
      <w:pPr>
        <w:spacing w:line="480" w:lineRule="auto"/>
        <w:rPr>
          <w:b/>
          <w:lang w:val="en-US"/>
        </w:rPr>
      </w:pPr>
    </w:p>
    <w:p w14:paraId="3D65723C" w14:textId="77777777" w:rsidR="000C69E5" w:rsidRDefault="000C69E5" w:rsidP="00FA3910">
      <w:pPr>
        <w:spacing w:line="480" w:lineRule="auto"/>
        <w:rPr>
          <w:b/>
          <w:lang w:val="en-US"/>
        </w:rPr>
      </w:pPr>
    </w:p>
    <w:p w14:paraId="560010B5" w14:textId="77777777" w:rsidR="000C69E5" w:rsidRDefault="000C69E5" w:rsidP="00FA3910">
      <w:pPr>
        <w:spacing w:line="480" w:lineRule="auto"/>
        <w:rPr>
          <w:b/>
          <w:lang w:val="en-US"/>
        </w:rPr>
      </w:pPr>
    </w:p>
    <w:p w14:paraId="1DE1554A" w14:textId="77777777" w:rsidR="00AD237C" w:rsidRDefault="00AD237C" w:rsidP="00FA3910">
      <w:pPr>
        <w:spacing w:line="480" w:lineRule="auto"/>
        <w:rPr>
          <w:b/>
          <w:lang w:val="en-US"/>
        </w:rPr>
      </w:pPr>
      <w:r>
        <w:rPr>
          <w:noProof/>
        </w:rPr>
        <w:lastRenderedPageBreak/>
        <w:drawing>
          <wp:inline distT="0" distB="0" distL="0" distR="0" wp14:anchorId="2482AC4A" wp14:editId="4C912406">
            <wp:extent cx="6627915" cy="9287838"/>
            <wp:effectExtent l="0" t="0" r="1905" b="8890"/>
            <wp:docPr id="13" name="Picture 1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29659" cy="9290282"/>
                    </a:xfrm>
                    <a:prstGeom prst="rect">
                      <a:avLst/>
                    </a:prstGeom>
                    <a:noFill/>
                    <a:ln>
                      <a:noFill/>
                    </a:ln>
                  </pic:spPr>
                </pic:pic>
              </a:graphicData>
            </a:graphic>
          </wp:inline>
        </w:drawing>
      </w:r>
      <w:r w:rsidRPr="00874ABA">
        <w:rPr>
          <w:b/>
          <w:lang w:val="en-US"/>
        </w:rPr>
        <w:t xml:space="preserve"> </w:t>
      </w:r>
    </w:p>
    <w:p w14:paraId="38CC2A0F" w14:textId="77777777" w:rsidR="00AD237C" w:rsidRDefault="00AD237C">
      <w:pPr>
        <w:spacing w:after="160" w:line="259" w:lineRule="auto"/>
        <w:rPr>
          <w:b/>
          <w:lang w:val="en-US"/>
        </w:rPr>
      </w:pPr>
      <w:r>
        <w:rPr>
          <w:b/>
          <w:lang w:val="en-US"/>
        </w:rPr>
        <w:br w:type="page"/>
      </w:r>
    </w:p>
    <w:p w14:paraId="6B47046F" w14:textId="6891B4A6" w:rsidR="00FA3910" w:rsidRPr="00874ABA" w:rsidRDefault="001674E1" w:rsidP="00FA3910">
      <w:pPr>
        <w:spacing w:line="480" w:lineRule="auto"/>
        <w:rPr>
          <w:b/>
          <w:lang w:val="en-US"/>
        </w:rPr>
      </w:pPr>
      <w:r w:rsidRPr="00874ABA">
        <w:rPr>
          <w:b/>
          <w:lang w:val="en-US"/>
        </w:rPr>
        <w:lastRenderedPageBreak/>
        <w:t xml:space="preserve">Supplemental </w:t>
      </w:r>
      <w:r w:rsidR="00FA3910" w:rsidRPr="00874ABA">
        <w:rPr>
          <w:b/>
          <w:lang w:val="en-US"/>
        </w:rPr>
        <w:t xml:space="preserve">Data Fig. </w:t>
      </w:r>
      <w:r w:rsidR="00B3529E">
        <w:rPr>
          <w:b/>
          <w:lang w:val="en-US"/>
        </w:rPr>
        <w:t>2</w:t>
      </w:r>
      <w:r w:rsidR="00FA3910" w:rsidRPr="00874ABA">
        <w:rPr>
          <w:b/>
          <w:lang w:val="en-US"/>
        </w:rPr>
        <w:t xml:space="preserve"> Mean change from baseline in the CDR-SB, MMSE, ADAS-Cog13, ADCS-ADL-MCI, and NPI scores </w:t>
      </w:r>
    </w:p>
    <w:p w14:paraId="1E82067F" w14:textId="77777777" w:rsidR="00FA3910" w:rsidRPr="00874ABA" w:rsidRDefault="00FA3910" w:rsidP="00FA3910">
      <w:pPr>
        <w:spacing w:line="480" w:lineRule="auto"/>
        <w:rPr>
          <w:rFonts w:cs="Arial"/>
          <w:bCs/>
          <w:lang w:val="en-US"/>
        </w:rPr>
      </w:pPr>
      <w:r w:rsidRPr="00874ABA">
        <w:rPr>
          <w:lang w:val="en-US"/>
        </w:rPr>
        <w:t xml:space="preserve">Longitudinal change from baseline in clinical measures is presented here. </w:t>
      </w:r>
      <w:r w:rsidRPr="00874ABA">
        <w:rPr>
          <w:b/>
          <w:bCs/>
          <w:lang w:val="en-US"/>
        </w:rPr>
        <w:t>Panel a</w:t>
      </w:r>
      <w:r w:rsidRPr="00874ABA">
        <w:rPr>
          <w:lang w:val="en-US"/>
        </w:rPr>
        <w:t xml:space="preserve"> </w:t>
      </w:r>
      <w:proofErr w:type="gramStart"/>
      <w:r w:rsidRPr="00874ABA">
        <w:rPr>
          <w:lang w:val="en-US"/>
        </w:rPr>
        <w:t>shows</w:t>
      </w:r>
      <w:proofErr w:type="gramEnd"/>
      <w:r w:rsidRPr="00874ABA">
        <w:rPr>
          <w:lang w:val="en-US"/>
        </w:rPr>
        <w:t xml:space="preserve"> the adjusted mean change from baseline in the CDR-SB score; scores range from 0 to 18</w:t>
      </w:r>
      <w:r w:rsidRPr="00874ABA">
        <w:rPr>
          <w:bCs/>
          <w:lang w:val="en-US"/>
        </w:rPr>
        <w:t>, rating three domains of cognition (memory, orientation, and judgment/problem solving) and three domains of function (community affairs, home/hobbies, and personal care), with higher scores indicating greater impairment.</w:t>
      </w:r>
      <w:r w:rsidRPr="00874ABA">
        <w:rPr>
          <w:lang w:val="en-US"/>
        </w:rPr>
        <w:t xml:space="preserve"> </w:t>
      </w:r>
      <w:r w:rsidRPr="00874ABA">
        <w:rPr>
          <w:b/>
          <w:bCs/>
          <w:lang w:val="en-US"/>
        </w:rPr>
        <w:t>Panel b</w:t>
      </w:r>
      <w:r w:rsidRPr="00874ABA">
        <w:rPr>
          <w:lang w:val="en-US"/>
        </w:rPr>
        <w:t xml:space="preserve"> shows the adjusted mean change from baseline in the MMSE score; scores range from 0 to 30, </w:t>
      </w:r>
      <w:r w:rsidRPr="00874ABA">
        <w:rPr>
          <w:bCs/>
          <w:lang w:val="en-US"/>
        </w:rPr>
        <w:t xml:space="preserve">with lower scores indicating greater impairment. </w:t>
      </w:r>
      <w:r w:rsidRPr="00874ABA">
        <w:rPr>
          <w:b/>
          <w:lang w:val="en-US"/>
        </w:rPr>
        <w:t>Panel c</w:t>
      </w:r>
      <w:r w:rsidRPr="00874ABA">
        <w:rPr>
          <w:bCs/>
          <w:lang w:val="en-US"/>
        </w:rPr>
        <w:t xml:space="preserve"> shows </w:t>
      </w:r>
      <w:r w:rsidRPr="00874ABA">
        <w:rPr>
          <w:lang w:val="en-US"/>
        </w:rPr>
        <w:t xml:space="preserve">the adjusted mean change from baseline in </w:t>
      </w:r>
      <w:r w:rsidRPr="00874ABA">
        <w:rPr>
          <w:rFonts w:cs="Arial"/>
          <w:bCs/>
          <w:lang w:val="en-US"/>
        </w:rPr>
        <w:t>t</w:t>
      </w:r>
      <w:r w:rsidRPr="00874ABA">
        <w:rPr>
          <w:bCs/>
          <w:lang w:val="en-US"/>
        </w:rPr>
        <w:t xml:space="preserve">he ADAS-Cog13 score; scores range from 0 to 85, with higher scores indicating greater impairment. </w:t>
      </w:r>
      <w:r w:rsidRPr="00874ABA">
        <w:rPr>
          <w:b/>
          <w:lang w:val="en-US"/>
        </w:rPr>
        <w:t>Panel d</w:t>
      </w:r>
      <w:r w:rsidRPr="00874ABA">
        <w:rPr>
          <w:bCs/>
          <w:lang w:val="en-US"/>
        </w:rPr>
        <w:t xml:space="preserve"> shows </w:t>
      </w:r>
      <w:r w:rsidRPr="00874ABA">
        <w:rPr>
          <w:lang w:val="en-US"/>
        </w:rPr>
        <w:t xml:space="preserve">the adjusted mean change from baseline in </w:t>
      </w:r>
      <w:r w:rsidRPr="00874ABA">
        <w:rPr>
          <w:bCs/>
          <w:lang w:val="en-US"/>
        </w:rPr>
        <w:t xml:space="preserve">the ADCS-ADL-MCI score; scores range from 0 to 53, with lower scores indicating greater impairment. </w:t>
      </w:r>
      <w:r w:rsidRPr="00874ABA">
        <w:rPr>
          <w:lang w:val="en-US"/>
        </w:rPr>
        <w:t xml:space="preserve">Results were based on a mixed model for repeated measures for each endpoint, with change from baseline in CDR-SB, MMSE, ADAS-Cog13, or ADCS-ADL-MCI score as the dependent variable and with fixed effects of treatment group, categorical visit, treatment-by-visit interaction, baseline measure, baseline measure-by-visit interaction, baseline MMSE score (same as baseline score in the MMSE model), </w:t>
      </w:r>
      <w:r w:rsidRPr="00874ABA">
        <w:rPr>
          <w:rFonts w:cs="Arial"/>
          <w:lang w:val="en-US"/>
        </w:rPr>
        <w:t xml:space="preserve">AD </w:t>
      </w:r>
      <w:r w:rsidRPr="00874ABA">
        <w:rPr>
          <w:lang w:val="en-US"/>
        </w:rPr>
        <w:t xml:space="preserve">symptomatic medication use at baseline, region, and laboratory ApoE ε4 status. </w:t>
      </w:r>
      <w:r w:rsidRPr="00874ABA">
        <w:rPr>
          <w:rFonts w:cs="Arial"/>
          <w:bCs/>
          <w:lang w:val="en-US"/>
        </w:rPr>
        <w:t>Data collected after March 20, 2019. were excluded.</w:t>
      </w:r>
      <w:r w:rsidRPr="00874ABA">
        <w:rPr>
          <w:lang w:val="en-US"/>
        </w:rPr>
        <w:t xml:space="preserve"> </w:t>
      </w:r>
      <w:r w:rsidRPr="00874ABA">
        <w:rPr>
          <w:vertAlign w:val="superscript"/>
          <w:lang w:val="en-US"/>
        </w:rPr>
        <w:t>†</w:t>
      </w:r>
      <w:r w:rsidRPr="00874ABA">
        <w:rPr>
          <w:i/>
          <w:lang w:val="en-US"/>
        </w:rPr>
        <w:t>P</w:t>
      </w:r>
      <w:r w:rsidRPr="00874ABA">
        <w:rPr>
          <w:lang w:val="en-US"/>
        </w:rPr>
        <w:t>&lt;.1 and ≥.05, *</w:t>
      </w:r>
      <w:r w:rsidRPr="00874ABA">
        <w:rPr>
          <w:i/>
          <w:lang w:val="en-US"/>
        </w:rPr>
        <w:t>P</w:t>
      </w:r>
      <w:r w:rsidRPr="00874ABA">
        <w:rPr>
          <w:lang w:val="en-US"/>
        </w:rPr>
        <w:t>&lt;.05, **</w:t>
      </w:r>
      <w:r w:rsidRPr="00874ABA">
        <w:rPr>
          <w:i/>
          <w:lang w:val="en-US"/>
        </w:rPr>
        <w:t>P</w:t>
      </w:r>
      <w:r w:rsidRPr="00874ABA">
        <w:rPr>
          <w:lang w:val="en-US"/>
        </w:rPr>
        <w:t>&lt;.01, ***</w:t>
      </w:r>
      <w:r w:rsidRPr="00874ABA">
        <w:rPr>
          <w:i/>
          <w:lang w:val="en-US"/>
        </w:rPr>
        <w:t>P</w:t>
      </w:r>
      <w:r w:rsidRPr="00874ABA">
        <w:rPr>
          <w:lang w:val="en-US"/>
        </w:rPr>
        <w:t>&lt;.001. Error bars denote SE.</w:t>
      </w:r>
      <w:r w:rsidRPr="00874ABA">
        <w:rPr>
          <w:bCs/>
          <w:lang w:val="en-US"/>
        </w:rPr>
        <w:t xml:space="preserve"> </w:t>
      </w:r>
      <w:r w:rsidRPr="00874ABA">
        <w:rPr>
          <w:b/>
          <w:lang w:val="en-US"/>
        </w:rPr>
        <w:t>Panel e</w:t>
      </w:r>
      <w:r w:rsidRPr="00874ABA">
        <w:rPr>
          <w:bCs/>
          <w:lang w:val="en-US"/>
        </w:rPr>
        <w:t xml:space="preserve"> shows r</w:t>
      </w:r>
      <w:r w:rsidRPr="00874ABA">
        <w:rPr>
          <w:rFonts w:cs="Arial"/>
          <w:bCs/>
          <w:lang w:val="en-US"/>
        </w:rPr>
        <w:t xml:space="preserve">esults from the randomized and dosed population based on a mixed model for repeated measures, with change from baseline in NPI-10 as the dependent variable and with fixed effects of treatment group, categorical visit, treatment group-by-visit interaction, baseline NPI-10, baseline NPI-10 by visit interaction, baseline MMSE, AD symptomatic medication use at baseline, region, and laboratory ApoE status </w:t>
      </w:r>
      <w:r w:rsidRPr="00874ABA">
        <w:rPr>
          <w:rFonts w:cs="Arial"/>
          <w:bCs/>
          <w:szCs w:val="22"/>
        </w:rPr>
        <w:t xml:space="preserve">(carrier and noncarrier). </w:t>
      </w:r>
      <w:r w:rsidRPr="00874ABA">
        <w:rPr>
          <w:rFonts w:cs="Arial"/>
          <w:bCs/>
          <w:lang w:val="en-US"/>
        </w:rPr>
        <w:t>Data collected after March 20, 2019, were excluded.</w:t>
      </w:r>
      <w:r w:rsidRPr="00874ABA">
        <w:rPr>
          <w:lang w:val="en-US"/>
        </w:rPr>
        <w:t xml:space="preserve"> </w:t>
      </w:r>
      <w:r w:rsidRPr="00874ABA">
        <w:rPr>
          <w:rFonts w:cs="Arial"/>
          <w:bCs/>
          <w:szCs w:val="22"/>
        </w:rPr>
        <w:t xml:space="preserve"> </w:t>
      </w:r>
    </w:p>
    <w:p w14:paraId="7D3FE676" w14:textId="77777777" w:rsidR="00FA3910" w:rsidRPr="00874ABA" w:rsidRDefault="00FA3910" w:rsidP="00FA3910">
      <w:pPr>
        <w:pStyle w:val="Bulletlevel4"/>
        <w:numPr>
          <w:ilvl w:val="0"/>
          <w:numId w:val="0"/>
        </w:numPr>
        <w:spacing w:line="480" w:lineRule="auto"/>
        <w:rPr>
          <w:bCs/>
          <w:lang w:val="en-US"/>
        </w:rPr>
      </w:pPr>
      <w:r w:rsidRPr="00874ABA">
        <w:rPr>
          <w:rFonts w:cs="Arial"/>
          <w:bCs/>
          <w:lang w:val="en-US"/>
        </w:rPr>
        <w:t xml:space="preserve">Negative percentage means less progression in the treated arm. </w:t>
      </w:r>
      <w:r w:rsidRPr="00874ABA">
        <w:rPr>
          <w:rFonts w:cs="Arial"/>
          <w:bCs/>
          <w:i/>
          <w:iCs/>
          <w:lang w:val="en-US"/>
        </w:rPr>
        <w:t>P</w:t>
      </w:r>
      <w:r w:rsidRPr="00874ABA">
        <w:rPr>
          <w:rFonts w:cs="Arial"/>
          <w:bCs/>
          <w:lang w:val="en-US"/>
        </w:rPr>
        <w:t xml:space="preserve"> values are nominal. NPI-10 scores range from 0 to 120, with lower scores indicating greater impairment.</w:t>
      </w:r>
    </w:p>
    <w:p w14:paraId="17794324" w14:textId="77777777" w:rsidR="00FA3910" w:rsidRPr="00874ABA" w:rsidRDefault="00FA3910" w:rsidP="00FA3910">
      <w:pPr>
        <w:spacing w:line="480" w:lineRule="auto"/>
        <w:rPr>
          <w:bCs/>
          <w:lang w:val="en-US"/>
        </w:rPr>
      </w:pPr>
      <w:r w:rsidRPr="00874ABA">
        <w:rPr>
          <w:bCs/>
          <w:lang w:val="en-US"/>
        </w:rPr>
        <w:t>ADAS-Cog13, Alzheimer</w:t>
      </w:r>
      <w:r w:rsidRPr="00874ABA">
        <w:rPr>
          <w:lang w:val="en-US"/>
        </w:rPr>
        <w:t>’s</w:t>
      </w:r>
      <w:r w:rsidRPr="00874ABA">
        <w:rPr>
          <w:bCs/>
          <w:lang w:val="en-US"/>
        </w:rPr>
        <w:t xml:space="preserve"> Disease Assessment Scale</w:t>
      </w:r>
      <w:r w:rsidRPr="00874ABA">
        <w:rPr>
          <w:rFonts w:cs="Arial"/>
          <w:lang w:val="en-US"/>
        </w:rPr>
        <w:t>–cognitive subscale (13 items)</w:t>
      </w:r>
      <w:r w:rsidRPr="00874ABA">
        <w:rPr>
          <w:bCs/>
          <w:lang w:val="en-US"/>
        </w:rPr>
        <w:t>; ADCS-ADL-MCI, Alzheimer</w:t>
      </w:r>
      <w:r w:rsidRPr="00874ABA">
        <w:rPr>
          <w:lang w:val="en-US"/>
        </w:rPr>
        <w:t>’s</w:t>
      </w:r>
      <w:r w:rsidRPr="00874ABA">
        <w:rPr>
          <w:bCs/>
          <w:lang w:val="en-US"/>
        </w:rPr>
        <w:t xml:space="preserve"> Disease Cooperative Study–Activities of Daily Living Inventory, mild cognitive impairment version; adu, aducanumab; ApoE, apolipoprotein E; CDR-SB, Clinical Dementia Rating Scale–sum of boxes; MMSE, Mini-Mental State Examination; </w:t>
      </w:r>
      <w:r w:rsidRPr="00874ABA">
        <w:rPr>
          <w:rFonts w:cs="Arial"/>
          <w:bCs/>
          <w:lang w:val="en-US"/>
        </w:rPr>
        <w:t>NPI-10, Neuropsychiatric Inventory-10.</w:t>
      </w:r>
    </w:p>
    <w:p w14:paraId="221182BD" w14:textId="1F0C21E8" w:rsidR="00FA3910" w:rsidRPr="00874ABA" w:rsidRDefault="00FA3910" w:rsidP="00FA3910">
      <w:pPr>
        <w:spacing w:line="480" w:lineRule="auto"/>
        <w:rPr>
          <w:b/>
          <w:lang w:val="en-US"/>
        </w:rPr>
        <w:sectPr w:rsidR="00FA3910" w:rsidRPr="00874ABA" w:rsidSect="000C69E5">
          <w:headerReference w:type="even" r:id="rId20"/>
          <w:footerReference w:type="even" r:id="rId21"/>
          <w:headerReference w:type="first" r:id="rId22"/>
          <w:type w:val="continuous"/>
          <w:pgSz w:w="11906" w:h="16838" w:code="9"/>
          <w:pgMar w:top="720" w:right="720" w:bottom="720" w:left="720" w:header="288" w:footer="720" w:gutter="0"/>
          <w:cols w:space="720"/>
          <w:docGrid w:linePitch="326"/>
        </w:sectPr>
      </w:pPr>
    </w:p>
    <w:p w14:paraId="14D14B27" w14:textId="24B47217" w:rsidR="00FA3910" w:rsidRPr="00874ABA" w:rsidRDefault="001674E1" w:rsidP="00FA3910">
      <w:pPr>
        <w:pStyle w:val="Bulletlevel4"/>
        <w:numPr>
          <w:ilvl w:val="0"/>
          <w:numId w:val="0"/>
        </w:numPr>
        <w:spacing w:line="480" w:lineRule="auto"/>
        <w:rPr>
          <w:b/>
          <w:lang w:val="en-US"/>
        </w:rPr>
      </w:pPr>
      <w:r w:rsidRPr="00874ABA">
        <w:rPr>
          <w:b/>
          <w:lang w:val="en-US"/>
        </w:rPr>
        <w:lastRenderedPageBreak/>
        <w:t xml:space="preserve">Supplemental </w:t>
      </w:r>
      <w:r w:rsidR="00FA3910" w:rsidRPr="00874ABA">
        <w:rPr>
          <w:b/>
          <w:lang w:val="en-US"/>
        </w:rPr>
        <w:t xml:space="preserve">Data Fig. </w:t>
      </w:r>
      <w:r w:rsidR="00B3529E">
        <w:rPr>
          <w:b/>
          <w:lang w:val="en-US"/>
        </w:rPr>
        <w:t>3</w:t>
      </w:r>
      <w:r w:rsidR="00B3529E" w:rsidRPr="00874ABA">
        <w:rPr>
          <w:b/>
          <w:lang w:val="en-US"/>
        </w:rPr>
        <w:t xml:space="preserve"> </w:t>
      </w:r>
      <w:r w:rsidR="00FA3910" w:rsidRPr="00874ABA">
        <w:rPr>
          <w:rFonts w:cs="Arial"/>
          <w:b/>
          <w:lang w:val="en-US"/>
        </w:rPr>
        <w:t>Subgroup analyses of primary and secondary endpoints</w:t>
      </w:r>
    </w:p>
    <w:p w14:paraId="3C3CDD60" w14:textId="2D7AA40E" w:rsidR="00FA3910" w:rsidRPr="00874ABA" w:rsidRDefault="00FA3910" w:rsidP="00FA3910">
      <w:pPr>
        <w:pStyle w:val="Text"/>
        <w:spacing w:line="480" w:lineRule="auto"/>
        <w:rPr>
          <w:sz w:val="23"/>
          <w:lang w:val="en-US"/>
        </w:rPr>
      </w:pPr>
      <w:r w:rsidRPr="00874ABA">
        <w:rPr>
          <w:rFonts w:cs="Arial"/>
          <w:sz w:val="23"/>
          <w:szCs w:val="23"/>
          <w:lang w:val="en-US"/>
        </w:rPr>
        <w:t xml:space="preserve">Forest plots of adjusted mean change from baseline vs placebo at week 78 on the primary and secondary clinical endpoints in </w:t>
      </w:r>
      <w:r w:rsidRPr="00874ABA">
        <w:rPr>
          <w:sz w:val="23"/>
          <w:lang w:val="en-US"/>
        </w:rPr>
        <w:t>EMERGE</w:t>
      </w:r>
      <w:r w:rsidRPr="00874ABA">
        <w:rPr>
          <w:rFonts w:cs="Arial"/>
          <w:sz w:val="23"/>
          <w:szCs w:val="23"/>
          <w:lang w:val="en-US"/>
        </w:rPr>
        <w:t xml:space="preserve"> (</w:t>
      </w:r>
      <w:r w:rsidRPr="00874ABA">
        <w:rPr>
          <w:rFonts w:cs="Arial"/>
          <w:b/>
          <w:bCs/>
          <w:sz w:val="23"/>
          <w:szCs w:val="23"/>
          <w:lang w:val="en-US"/>
        </w:rPr>
        <w:t>a-d</w:t>
      </w:r>
      <w:r w:rsidRPr="00874ABA">
        <w:rPr>
          <w:rFonts w:cs="Arial"/>
          <w:sz w:val="23"/>
          <w:szCs w:val="23"/>
          <w:lang w:val="en-US"/>
        </w:rPr>
        <w:t>) and</w:t>
      </w:r>
      <w:r w:rsidRPr="00874ABA">
        <w:rPr>
          <w:sz w:val="23"/>
          <w:lang w:val="en-US"/>
        </w:rPr>
        <w:t xml:space="preserve"> ENGAGE</w:t>
      </w:r>
      <w:r w:rsidRPr="00874ABA">
        <w:rPr>
          <w:rFonts w:cs="Arial"/>
          <w:sz w:val="23"/>
          <w:szCs w:val="23"/>
          <w:lang w:val="en-US"/>
        </w:rPr>
        <w:t xml:space="preserve"> (</w:t>
      </w:r>
      <w:r w:rsidRPr="00874ABA">
        <w:rPr>
          <w:rFonts w:cs="Arial"/>
          <w:b/>
          <w:bCs/>
          <w:sz w:val="23"/>
          <w:szCs w:val="23"/>
          <w:lang w:val="en-US"/>
        </w:rPr>
        <w:t>e-h</w:t>
      </w:r>
      <w:r w:rsidRPr="00874ABA">
        <w:rPr>
          <w:rFonts w:cs="Arial"/>
          <w:sz w:val="23"/>
          <w:szCs w:val="23"/>
          <w:lang w:val="en-US"/>
        </w:rPr>
        <w:t>)</w:t>
      </w:r>
      <w:r w:rsidRPr="00874ABA">
        <w:rPr>
          <w:sz w:val="23"/>
          <w:lang w:val="en-US"/>
        </w:rPr>
        <w:t xml:space="preserve"> high</w:t>
      </w:r>
      <w:r w:rsidR="00186383">
        <w:rPr>
          <w:sz w:val="23"/>
          <w:lang w:val="en-US"/>
        </w:rPr>
        <w:t>-</w:t>
      </w:r>
      <w:r w:rsidRPr="00874ABA">
        <w:rPr>
          <w:sz w:val="23"/>
          <w:lang w:val="en-US"/>
        </w:rPr>
        <w:t>dose</w:t>
      </w:r>
      <w:r w:rsidRPr="00874ABA">
        <w:rPr>
          <w:rFonts w:cs="Arial"/>
          <w:sz w:val="23"/>
          <w:szCs w:val="23"/>
          <w:lang w:val="en-US"/>
        </w:rPr>
        <w:t xml:space="preserve"> groups and </w:t>
      </w:r>
      <w:r w:rsidRPr="00874ABA">
        <w:rPr>
          <w:rFonts w:cs="Arial"/>
          <w:sz w:val="23"/>
          <w:szCs w:val="23"/>
        </w:rPr>
        <w:t>EMERGE (</w:t>
      </w:r>
      <w:proofErr w:type="spellStart"/>
      <w:r w:rsidRPr="00874ABA">
        <w:rPr>
          <w:rFonts w:cs="Arial"/>
          <w:b/>
          <w:bCs/>
          <w:sz w:val="23"/>
          <w:szCs w:val="23"/>
        </w:rPr>
        <w:t>i</w:t>
      </w:r>
      <w:proofErr w:type="spellEnd"/>
      <w:r w:rsidRPr="00874ABA">
        <w:rPr>
          <w:rFonts w:cs="Arial"/>
          <w:b/>
          <w:bCs/>
          <w:sz w:val="23"/>
          <w:szCs w:val="23"/>
        </w:rPr>
        <w:t>-l</w:t>
      </w:r>
      <w:r w:rsidRPr="00874ABA">
        <w:rPr>
          <w:rFonts w:cs="Arial"/>
          <w:sz w:val="23"/>
          <w:szCs w:val="23"/>
        </w:rPr>
        <w:t>) and ENGAGE (</w:t>
      </w:r>
      <w:r w:rsidRPr="00874ABA">
        <w:rPr>
          <w:rFonts w:cs="Arial"/>
          <w:b/>
          <w:bCs/>
          <w:sz w:val="23"/>
          <w:szCs w:val="23"/>
        </w:rPr>
        <w:t>m-p</w:t>
      </w:r>
      <w:r w:rsidRPr="00874ABA">
        <w:rPr>
          <w:rFonts w:cs="Arial"/>
          <w:sz w:val="23"/>
          <w:szCs w:val="23"/>
        </w:rPr>
        <w:t xml:space="preserve">) low dose groups. </w:t>
      </w:r>
      <w:r w:rsidRPr="00874ABA">
        <w:rPr>
          <w:rFonts w:cs="Arial"/>
          <w:sz w:val="23"/>
          <w:szCs w:val="23"/>
          <w:lang w:val="en-US"/>
        </w:rPr>
        <w:t>Prespecified subgroups by demographic characteristics and disease characteristics were analyzed for CDR-SB (</w:t>
      </w:r>
      <w:proofErr w:type="spellStart"/>
      <w:proofErr w:type="gramStart"/>
      <w:r w:rsidRPr="00874ABA">
        <w:rPr>
          <w:rFonts w:cs="Arial"/>
          <w:b/>
          <w:bCs/>
          <w:sz w:val="23"/>
          <w:szCs w:val="23"/>
          <w:lang w:val="en-US"/>
        </w:rPr>
        <w:t>a,e</w:t>
      </w:r>
      <w:proofErr w:type="gramEnd"/>
      <w:r w:rsidRPr="00874ABA">
        <w:rPr>
          <w:rFonts w:cs="Arial"/>
          <w:b/>
          <w:bCs/>
          <w:sz w:val="23"/>
          <w:szCs w:val="23"/>
          <w:lang w:val="en-US"/>
        </w:rPr>
        <w:t>,i,m</w:t>
      </w:r>
      <w:proofErr w:type="spellEnd"/>
      <w:r w:rsidRPr="00874ABA">
        <w:rPr>
          <w:rFonts w:cs="Arial"/>
          <w:sz w:val="23"/>
          <w:szCs w:val="23"/>
          <w:lang w:val="en-US"/>
        </w:rPr>
        <w:t>), MMSE (</w:t>
      </w:r>
      <w:proofErr w:type="spellStart"/>
      <w:r w:rsidRPr="00874ABA">
        <w:rPr>
          <w:rFonts w:cs="Arial"/>
          <w:b/>
          <w:bCs/>
          <w:sz w:val="23"/>
          <w:szCs w:val="23"/>
          <w:lang w:val="en-US"/>
        </w:rPr>
        <w:t>b,f,j,n</w:t>
      </w:r>
      <w:proofErr w:type="spellEnd"/>
      <w:r w:rsidRPr="00874ABA">
        <w:rPr>
          <w:rFonts w:cs="Arial"/>
          <w:sz w:val="23"/>
          <w:szCs w:val="23"/>
          <w:lang w:val="en-US"/>
        </w:rPr>
        <w:t>), ADAS-Cog13 (</w:t>
      </w:r>
      <w:proofErr w:type="spellStart"/>
      <w:r w:rsidRPr="00874ABA">
        <w:rPr>
          <w:rFonts w:cs="Arial"/>
          <w:b/>
          <w:bCs/>
          <w:sz w:val="23"/>
          <w:szCs w:val="23"/>
          <w:lang w:val="en-US"/>
        </w:rPr>
        <w:t>c,g,k,o</w:t>
      </w:r>
      <w:proofErr w:type="spellEnd"/>
      <w:r w:rsidRPr="00874ABA">
        <w:rPr>
          <w:rFonts w:cs="Arial"/>
          <w:sz w:val="23"/>
          <w:szCs w:val="23"/>
          <w:lang w:val="en-US"/>
        </w:rPr>
        <w:t>), and ADCS-ADL-MCI (</w:t>
      </w:r>
      <w:proofErr w:type="spellStart"/>
      <w:r w:rsidRPr="00874ABA">
        <w:rPr>
          <w:rFonts w:cs="Arial"/>
          <w:b/>
          <w:bCs/>
          <w:sz w:val="23"/>
          <w:szCs w:val="23"/>
          <w:lang w:val="en-US"/>
        </w:rPr>
        <w:t>d,h,</w:t>
      </w:r>
      <w:r w:rsidRPr="00874ABA">
        <w:rPr>
          <w:rFonts w:cs="Arial"/>
          <w:b/>
          <w:sz w:val="23"/>
          <w:szCs w:val="23"/>
          <w:lang w:val="en-US"/>
        </w:rPr>
        <w:t>l</w:t>
      </w:r>
      <w:r w:rsidRPr="00874ABA">
        <w:rPr>
          <w:rFonts w:cs="Arial"/>
          <w:b/>
          <w:bCs/>
          <w:sz w:val="23"/>
          <w:szCs w:val="23"/>
          <w:lang w:val="en-US"/>
        </w:rPr>
        <w:t>,p</w:t>
      </w:r>
      <w:proofErr w:type="spellEnd"/>
      <w:r w:rsidRPr="00874ABA">
        <w:rPr>
          <w:rFonts w:cs="Arial"/>
          <w:sz w:val="23"/>
          <w:szCs w:val="23"/>
          <w:lang w:val="en-US"/>
        </w:rPr>
        <w:t>). Results</w:t>
      </w:r>
      <w:r w:rsidRPr="00874ABA">
        <w:rPr>
          <w:sz w:val="23"/>
          <w:lang w:val="en-US"/>
        </w:rPr>
        <w:t xml:space="preserve"> were based on </w:t>
      </w:r>
      <w:r w:rsidRPr="00874ABA">
        <w:rPr>
          <w:lang w:val="en-US"/>
        </w:rPr>
        <w:t>mixed models for repeated measures</w:t>
      </w:r>
      <w:r w:rsidRPr="00874ABA">
        <w:rPr>
          <w:sz w:val="23"/>
          <w:lang w:val="en-US"/>
        </w:rPr>
        <w:t xml:space="preserve"> </w:t>
      </w:r>
      <w:r w:rsidRPr="00874ABA">
        <w:rPr>
          <w:rFonts w:cs="Arial"/>
          <w:sz w:val="23"/>
          <w:szCs w:val="23"/>
          <w:lang w:val="en-US"/>
        </w:rPr>
        <w:t>for each subgroup</w:t>
      </w:r>
      <w:r w:rsidRPr="00874ABA">
        <w:rPr>
          <w:sz w:val="23"/>
          <w:lang w:val="en-US"/>
        </w:rPr>
        <w:t xml:space="preserve">, with change from baseline in </w:t>
      </w:r>
      <w:r w:rsidRPr="00874ABA">
        <w:rPr>
          <w:rFonts w:cs="Arial"/>
          <w:sz w:val="23"/>
          <w:szCs w:val="23"/>
          <w:lang w:val="en-US"/>
        </w:rPr>
        <w:t>the clinical endpoint</w:t>
      </w:r>
      <w:r w:rsidRPr="00874ABA">
        <w:rPr>
          <w:sz w:val="23"/>
          <w:lang w:val="en-US"/>
        </w:rPr>
        <w:t xml:space="preserve"> as dependent variable and with </w:t>
      </w:r>
      <w:r w:rsidRPr="00874ABA">
        <w:rPr>
          <w:rFonts w:cs="Arial"/>
          <w:sz w:val="23"/>
          <w:szCs w:val="23"/>
          <w:lang w:val="en-US"/>
        </w:rPr>
        <w:t xml:space="preserve">the following </w:t>
      </w:r>
      <w:r w:rsidRPr="00874ABA">
        <w:rPr>
          <w:sz w:val="23"/>
          <w:lang w:val="en-US"/>
        </w:rPr>
        <w:t xml:space="preserve">fixed effects </w:t>
      </w:r>
      <w:r w:rsidRPr="00874ABA">
        <w:rPr>
          <w:rFonts w:cs="Arial"/>
          <w:sz w:val="23"/>
          <w:szCs w:val="23"/>
          <w:lang w:val="en-US"/>
        </w:rPr>
        <w:t>(excluding covariates defining the subgroup):</w:t>
      </w:r>
      <w:r w:rsidRPr="00874ABA">
        <w:rPr>
          <w:sz w:val="23"/>
          <w:lang w:val="en-US"/>
        </w:rPr>
        <w:t xml:space="preserve"> treatment group, categorical visit, treatment-by-visit interaction, baseline </w:t>
      </w:r>
      <w:r w:rsidRPr="00874ABA">
        <w:rPr>
          <w:rFonts w:cs="Arial"/>
          <w:sz w:val="23"/>
          <w:szCs w:val="23"/>
          <w:lang w:val="en-US"/>
        </w:rPr>
        <w:t>score</w:t>
      </w:r>
      <w:r w:rsidRPr="00874ABA">
        <w:rPr>
          <w:sz w:val="23"/>
          <w:lang w:val="en-US"/>
        </w:rPr>
        <w:t xml:space="preserve">, baseline </w:t>
      </w:r>
      <w:r w:rsidRPr="00874ABA">
        <w:rPr>
          <w:rFonts w:cs="Arial"/>
          <w:sz w:val="23"/>
          <w:szCs w:val="23"/>
          <w:lang w:val="en-US"/>
        </w:rPr>
        <w:t xml:space="preserve">score </w:t>
      </w:r>
      <w:r w:rsidRPr="00874ABA">
        <w:rPr>
          <w:sz w:val="23"/>
          <w:lang w:val="en-US"/>
        </w:rPr>
        <w:t>by</w:t>
      </w:r>
      <w:r w:rsidRPr="00874ABA">
        <w:rPr>
          <w:rFonts w:cs="Arial"/>
          <w:sz w:val="23"/>
          <w:szCs w:val="23"/>
          <w:lang w:val="en-US"/>
        </w:rPr>
        <w:t xml:space="preserve"> </w:t>
      </w:r>
      <w:r w:rsidRPr="00874ABA">
        <w:rPr>
          <w:sz w:val="23"/>
          <w:lang w:val="en-US"/>
        </w:rPr>
        <w:t>visit interaction, baseline MMSE</w:t>
      </w:r>
      <w:r w:rsidRPr="00874ABA">
        <w:rPr>
          <w:rFonts w:cs="Arial"/>
          <w:sz w:val="23"/>
          <w:szCs w:val="23"/>
          <w:lang w:val="en-US"/>
        </w:rPr>
        <w:t xml:space="preserve">, AD </w:t>
      </w:r>
      <w:r w:rsidRPr="00874ABA">
        <w:rPr>
          <w:sz w:val="23"/>
          <w:lang w:val="en-US"/>
        </w:rPr>
        <w:t xml:space="preserve">symptomatic medication use at baseline, region, </w:t>
      </w:r>
      <w:r w:rsidRPr="00874ABA">
        <w:rPr>
          <w:rFonts w:cs="Arial"/>
          <w:sz w:val="23"/>
          <w:szCs w:val="23"/>
          <w:lang w:val="en-US"/>
        </w:rPr>
        <w:t xml:space="preserve">and </w:t>
      </w:r>
      <w:r w:rsidRPr="00874ABA">
        <w:rPr>
          <w:sz w:val="23"/>
          <w:lang w:val="en-US"/>
        </w:rPr>
        <w:t>laboratory ApoE status</w:t>
      </w:r>
      <w:r w:rsidRPr="00874ABA">
        <w:rPr>
          <w:rFonts w:cs="Arial"/>
          <w:sz w:val="23"/>
          <w:szCs w:val="23"/>
          <w:lang w:val="en-US"/>
        </w:rPr>
        <w:t xml:space="preserve">. </w:t>
      </w:r>
      <w:r w:rsidRPr="00874ABA">
        <w:rPr>
          <w:rFonts w:cs="Arial"/>
          <w:bCs/>
          <w:lang w:val="en-US"/>
        </w:rPr>
        <w:t xml:space="preserve">Data collected after March 20, 2019, were excluded. </w:t>
      </w:r>
      <w:r w:rsidRPr="00874ABA">
        <w:rPr>
          <w:rFonts w:cs="Arial"/>
          <w:sz w:val="23"/>
          <w:szCs w:val="23"/>
          <w:lang w:val="en-US"/>
        </w:rPr>
        <w:t>The prespecified subgroups were laboratory ApoE status, baseline clinical stage, baseline MMSE, baseline AD medication use, region, age, and sex</w:t>
      </w:r>
      <w:r w:rsidRPr="00874ABA">
        <w:rPr>
          <w:sz w:val="23"/>
          <w:lang w:val="en-US"/>
        </w:rPr>
        <w:t>.</w:t>
      </w:r>
      <w:r w:rsidRPr="00874ABA">
        <w:t xml:space="preserve"> </w:t>
      </w:r>
      <w:r w:rsidRPr="00874ABA">
        <w:rPr>
          <w:sz w:val="23"/>
          <w:lang w:val="en-US"/>
        </w:rPr>
        <w:t>These subgroups were not powered to detect a statistically significant difference in outcomes between the study arms.</w:t>
      </w:r>
    </w:p>
    <w:p w14:paraId="06058D49" w14:textId="77777777" w:rsidR="00FA3910" w:rsidRPr="00874ABA" w:rsidRDefault="00FA3910" w:rsidP="00FA3910">
      <w:pPr>
        <w:pStyle w:val="Text"/>
        <w:spacing w:line="480" w:lineRule="auto"/>
        <w:rPr>
          <w:rFonts w:cs="Arial"/>
          <w:sz w:val="23"/>
          <w:szCs w:val="23"/>
        </w:rPr>
      </w:pPr>
      <w:r w:rsidRPr="00874ABA">
        <w:rPr>
          <w:rFonts w:cs="Arial"/>
          <w:sz w:val="23"/>
          <w:szCs w:val="23"/>
        </w:rPr>
        <w:t>AD, Alzheimer</w:t>
      </w:r>
      <w:r w:rsidRPr="00874ABA">
        <w:rPr>
          <w:lang w:val="en-US"/>
        </w:rPr>
        <w:t>’s</w:t>
      </w:r>
      <w:r w:rsidRPr="00874ABA">
        <w:rPr>
          <w:rFonts w:cs="Arial"/>
          <w:sz w:val="23"/>
          <w:szCs w:val="23"/>
        </w:rPr>
        <w:t xml:space="preserve"> disease; </w:t>
      </w:r>
      <w:r w:rsidRPr="00874ABA">
        <w:rPr>
          <w:bCs/>
          <w:lang w:val="en-US"/>
        </w:rPr>
        <w:t>ADAS-Cog13, Alzheimer</w:t>
      </w:r>
      <w:r w:rsidRPr="00874ABA">
        <w:rPr>
          <w:lang w:val="en-US"/>
        </w:rPr>
        <w:t>’s</w:t>
      </w:r>
      <w:r w:rsidRPr="00874ABA">
        <w:rPr>
          <w:bCs/>
          <w:lang w:val="en-US"/>
        </w:rPr>
        <w:t xml:space="preserve"> Disease Assessment Scale</w:t>
      </w:r>
      <w:r w:rsidRPr="00874ABA">
        <w:rPr>
          <w:rFonts w:cs="Arial"/>
          <w:lang w:val="en-US"/>
        </w:rPr>
        <w:t>–cognitive subscale (13 items)</w:t>
      </w:r>
      <w:r w:rsidRPr="00874ABA">
        <w:rPr>
          <w:bCs/>
          <w:lang w:val="en-US"/>
        </w:rPr>
        <w:t>; ADCS-ADL-MCI, Alzheimer</w:t>
      </w:r>
      <w:r w:rsidRPr="00874ABA">
        <w:rPr>
          <w:lang w:val="en-US"/>
        </w:rPr>
        <w:t>’s</w:t>
      </w:r>
      <w:r w:rsidRPr="00874ABA">
        <w:rPr>
          <w:bCs/>
          <w:lang w:val="en-US"/>
        </w:rPr>
        <w:t xml:space="preserve"> Disease Cooperative Study–Activities of Daily Living Inventory, mild cognitive impairment version; </w:t>
      </w:r>
      <w:r w:rsidRPr="00874ABA">
        <w:rPr>
          <w:rFonts w:cs="Arial"/>
          <w:sz w:val="23"/>
          <w:szCs w:val="23"/>
        </w:rPr>
        <w:t xml:space="preserve">ApoE, apolipoprotein E; </w:t>
      </w:r>
      <w:r w:rsidRPr="00874ABA">
        <w:rPr>
          <w:bCs/>
          <w:lang w:val="en-US"/>
        </w:rPr>
        <w:t xml:space="preserve">CDR-SB, Clinical Dementia Rating Scale–sum of boxes; </w:t>
      </w:r>
      <w:r w:rsidRPr="00874ABA">
        <w:rPr>
          <w:rFonts w:cs="Arial"/>
          <w:sz w:val="23"/>
          <w:szCs w:val="23"/>
        </w:rPr>
        <w:t>MMSE, Mini Mental State Examination.</w:t>
      </w:r>
    </w:p>
    <w:p w14:paraId="39790BEE" w14:textId="77777777" w:rsidR="00E32B87" w:rsidRDefault="00E32B87" w:rsidP="00FA3910">
      <w:pPr>
        <w:spacing w:line="480" w:lineRule="auto"/>
        <w:rPr>
          <w:rFonts w:cs="Arial"/>
          <w:b/>
        </w:rPr>
      </w:pPr>
    </w:p>
    <w:p w14:paraId="5DDB5C49" w14:textId="77777777" w:rsidR="00E32B87" w:rsidRDefault="00E32B87" w:rsidP="00FA3910">
      <w:pPr>
        <w:spacing w:line="480" w:lineRule="auto"/>
        <w:rPr>
          <w:rFonts w:cs="Arial"/>
          <w:b/>
        </w:rPr>
      </w:pPr>
    </w:p>
    <w:p w14:paraId="463512D0" w14:textId="77777777" w:rsidR="00E32B87" w:rsidRDefault="00E32B87" w:rsidP="00FA3910">
      <w:pPr>
        <w:spacing w:line="480" w:lineRule="auto"/>
        <w:rPr>
          <w:rFonts w:cs="Arial"/>
          <w:b/>
        </w:rPr>
      </w:pPr>
    </w:p>
    <w:p w14:paraId="3FE6E76B" w14:textId="77777777" w:rsidR="00E32B87" w:rsidRDefault="00E32B87" w:rsidP="00FA3910">
      <w:pPr>
        <w:spacing w:line="480" w:lineRule="auto"/>
        <w:rPr>
          <w:rFonts w:cs="Arial"/>
          <w:b/>
        </w:rPr>
      </w:pPr>
    </w:p>
    <w:p w14:paraId="38EF347C" w14:textId="77777777" w:rsidR="00E32B87" w:rsidRDefault="00E32B87" w:rsidP="00FA3910">
      <w:pPr>
        <w:spacing w:line="480" w:lineRule="auto"/>
        <w:rPr>
          <w:rFonts w:cs="Arial"/>
          <w:b/>
        </w:rPr>
      </w:pPr>
    </w:p>
    <w:p w14:paraId="370AF831" w14:textId="77777777" w:rsidR="00E32B87" w:rsidRDefault="00E32B87" w:rsidP="00FA3910">
      <w:pPr>
        <w:spacing w:line="480" w:lineRule="auto"/>
        <w:rPr>
          <w:rFonts w:cs="Arial"/>
          <w:b/>
        </w:rPr>
      </w:pPr>
    </w:p>
    <w:p w14:paraId="4947EC52" w14:textId="77777777" w:rsidR="00E32B87" w:rsidRDefault="00E32B87" w:rsidP="00FA3910">
      <w:pPr>
        <w:spacing w:line="480" w:lineRule="auto"/>
        <w:rPr>
          <w:rFonts w:cs="Arial"/>
          <w:b/>
        </w:rPr>
      </w:pPr>
    </w:p>
    <w:p w14:paraId="637DC88F" w14:textId="77777777" w:rsidR="00E32B87" w:rsidRDefault="00E32B87" w:rsidP="00FA3910">
      <w:pPr>
        <w:spacing w:line="480" w:lineRule="auto"/>
        <w:rPr>
          <w:rFonts w:cs="Arial"/>
          <w:b/>
        </w:rPr>
      </w:pPr>
    </w:p>
    <w:p w14:paraId="40286354" w14:textId="77777777" w:rsidR="00E32B87" w:rsidRDefault="00E32B87" w:rsidP="00FA3910">
      <w:pPr>
        <w:spacing w:line="480" w:lineRule="auto"/>
        <w:rPr>
          <w:rFonts w:cs="Arial"/>
          <w:b/>
        </w:rPr>
      </w:pPr>
    </w:p>
    <w:p w14:paraId="4A1AC4D5" w14:textId="77777777" w:rsidR="00E32B87" w:rsidRDefault="00E32B87" w:rsidP="00FA3910">
      <w:pPr>
        <w:spacing w:line="480" w:lineRule="auto"/>
        <w:rPr>
          <w:rFonts w:cs="Arial"/>
          <w:b/>
        </w:rPr>
      </w:pPr>
    </w:p>
    <w:p w14:paraId="4B43828D" w14:textId="77777777" w:rsidR="00E32B87" w:rsidRDefault="00E32B87" w:rsidP="00FA3910">
      <w:pPr>
        <w:spacing w:line="480" w:lineRule="auto"/>
        <w:rPr>
          <w:rFonts w:cs="Arial"/>
          <w:b/>
        </w:rPr>
      </w:pPr>
    </w:p>
    <w:p w14:paraId="71BDD4CA" w14:textId="77777777" w:rsidR="00E32B87" w:rsidRDefault="00E32B87" w:rsidP="00FA3910">
      <w:pPr>
        <w:spacing w:line="480" w:lineRule="auto"/>
        <w:rPr>
          <w:rFonts w:cs="Arial"/>
          <w:b/>
        </w:rPr>
      </w:pPr>
    </w:p>
    <w:p w14:paraId="01E2FCB2" w14:textId="77777777" w:rsidR="00E32B87" w:rsidRDefault="00E32B87" w:rsidP="00FA3910">
      <w:pPr>
        <w:spacing w:line="480" w:lineRule="auto"/>
        <w:rPr>
          <w:rFonts w:cs="Arial"/>
          <w:b/>
        </w:rPr>
      </w:pPr>
    </w:p>
    <w:p w14:paraId="491D1541" w14:textId="77777777" w:rsidR="00E32B87" w:rsidRDefault="00E32B87" w:rsidP="00FA3910">
      <w:pPr>
        <w:spacing w:line="480" w:lineRule="auto"/>
        <w:rPr>
          <w:rFonts w:cs="Arial"/>
          <w:b/>
        </w:rPr>
        <w:sectPr w:rsidR="00E32B87" w:rsidSect="000C69E5">
          <w:pgSz w:w="11906" w:h="16838" w:code="9"/>
          <w:pgMar w:top="720" w:right="720" w:bottom="720" w:left="720" w:header="288" w:footer="720" w:gutter="0"/>
          <w:cols w:space="720"/>
          <w:docGrid w:linePitch="326"/>
        </w:sectPr>
      </w:pPr>
    </w:p>
    <w:p w14:paraId="1E09E218" w14:textId="40BEDF83" w:rsidR="00FA3910" w:rsidRPr="00874ABA" w:rsidRDefault="00FA3910" w:rsidP="00FA3910">
      <w:pPr>
        <w:spacing w:line="480" w:lineRule="auto"/>
        <w:rPr>
          <w:rFonts w:cs="Arial"/>
          <w:b/>
        </w:rPr>
      </w:pPr>
    </w:p>
    <w:p w14:paraId="7C336B83" w14:textId="7DB75F01" w:rsidR="00FA3910" w:rsidRPr="00874ABA" w:rsidRDefault="00E32B87" w:rsidP="00FA3910">
      <w:pPr>
        <w:spacing w:line="480" w:lineRule="auto"/>
        <w:rPr>
          <w:rFonts w:cs="Arial"/>
          <w:b/>
          <w:lang w:eastAsia="en-US"/>
        </w:rPr>
        <w:sectPr w:rsidR="00FA3910" w:rsidRPr="00874ABA" w:rsidSect="00E32B87">
          <w:pgSz w:w="16838" w:h="11906" w:orient="landscape" w:code="9"/>
          <w:pgMar w:top="720" w:right="720" w:bottom="720" w:left="720" w:header="288" w:footer="720" w:gutter="0"/>
          <w:cols w:space="720"/>
          <w:docGrid w:linePitch="326"/>
        </w:sectPr>
      </w:pPr>
      <w:r w:rsidRPr="00E32B87">
        <w:rPr>
          <w:b/>
          <w:noProof/>
        </w:rPr>
        <w:drawing>
          <wp:inline distT="0" distB="0" distL="0" distR="0" wp14:anchorId="7EC495B5" wp14:editId="5C093827">
            <wp:extent cx="9938545" cy="5923128"/>
            <wp:effectExtent l="0" t="0" r="0" b="0"/>
            <wp:docPr id="19" name="Picture 3" descr="A picture containing text, building, window blind&#10;&#10;Description automatically generated">
              <a:extLst xmlns:a="http://schemas.openxmlformats.org/drawingml/2006/main">
                <a:ext uri="{FF2B5EF4-FFF2-40B4-BE49-F238E27FC236}">
                  <a16:creationId xmlns:a16="http://schemas.microsoft.com/office/drawing/2014/main" id="{39BC4C14-2ACB-4B1C-8768-26EEA99A23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A picture containing text, building, window blind&#10;&#10;Description automatically generated">
                      <a:extLst>
                        <a:ext uri="{FF2B5EF4-FFF2-40B4-BE49-F238E27FC236}">
                          <a16:creationId xmlns:a16="http://schemas.microsoft.com/office/drawing/2014/main" id="{39BC4C14-2ACB-4B1C-8768-26EEA99A23CA}"/>
                        </a:ext>
                      </a:extLst>
                    </pic:cNvPr>
                    <pic:cNvPicPr>
                      <a:picLocks noChangeAspect="1"/>
                    </pic:cNvPicPr>
                  </pic:nvPicPr>
                  <pic:blipFill rotWithShape="1">
                    <a:blip r:embed="rId23"/>
                    <a:srcRect b="74725"/>
                    <a:stretch/>
                  </pic:blipFill>
                  <pic:spPr>
                    <a:xfrm>
                      <a:off x="0" y="0"/>
                      <a:ext cx="9951585" cy="5930900"/>
                    </a:xfrm>
                    <a:prstGeom prst="rect">
                      <a:avLst/>
                    </a:prstGeom>
                  </pic:spPr>
                </pic:pic>
              </a:graphicData>
            </a:graphic>
          </wp:inline>
        </w:drawing>
      </w:r>
    </w:p>
    <w:p w14:paraId="62E2619C" w14:textId="719BEF51" w:rsidR="006A5C58" w:rsidRDefault="00576B2B" w:rsidP="00FA3910">
      <w:pPr>
        <w:pStyle w:val="Bulletlevel4"/>
        <w:numPr>
          <w:ilvl w:val="0"/>
          <w:numId w:val="0"/>
        </w:numPr>
        <w:spacing w:line="480" w:lineRule="auto"/>
        <w:rPr>
          <w:b/>
          <w:lang w:val="en-US"/>
        </w:rPr>
      </w:pPr>
      <w:r>
        <w:rPr>
          <w:noProof/>
        </w:rPr>
        <w:lastRenderedPageBreak/>
        <w:drawing>
          <wp:inline distT="0" distB="0" distL="0" distR="0" wp14:anchorId="2720683D" wp14:editId="0BC6A452">
            <wp:extent cx="9505666" cy="5518570"/>
            <wp:effectExtent l="0" t="0" r="0" b="0"/>
            <wp:docPr id="21" name="Picture 3">
              <a:extLst xmlns:a="http://schemas.openxmlformats.org/drawingml/2006/main">
                <a:ext uri="{FF2B5EF4-FFF2-40B4-BE49-F238E27FC236}">
                  <a16:creationId xmlns:a16="http://schemas.microsoft.com/office/drawing/2014/main" id="{39BC4C14-2ACB-4B1C-8768-26EEA99A23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9BC4C14-2ACB-4B1C-8768-26EEA99A23CA}"/>
                        </a:ext>
                      </a:extLst>
                    </pic:cNvPr>
                    <pic:cNvPicPr>
                      <a:picLocks noChangeAspect="1"/>
                    </pic:cNvPicPr>
                  </pic:nvPicPr>
                  <pic:blipFill rotWithShape="1">
                    <a:blip r:embed="rId23"/>
                    <a:srcRect t="25282" b="50070"/>
                    <a:stretch/>
                  </pic:blipFill>
                  <pic:spPr>
                    <a:xfrm>
                      <a:off x="0" y="0"/>
                      <a:ext cx="9518520" cy="5526033"/>
                    </a:xfrm>
                    <a:prstGeom prst="rect">
                      <a:avLst/>
                    </a:prstGeom>
                  </pic:spPr>
                </pic:pic>
              </a:graphicData>
            </a:graphic>
          </wp:inline>
        </w:drawing>
      </w:r>
      <w:r>
        <w:rPr>
          <w:b/>
          <w:lang w:val="en-US"/>
        </w:rPr>
        <w:t xml:space="preserve"> </w:t>
      </w:r>
      <w:r w:rsidR="006A5C58">
        <w:rPr>
          <w:b/>
          <w:lang w:val="en-US"/>
        </w:rPr>
        <w:br w:type="page"/>
      </w:r>
    </w:p>
    <w:p w14:paraId="6D4A7246" w14:textId="15B9DCC6" w:rsidR="00576B2B" w:rsidRDefault="0079308D">
      <w:pPr>
        <w:spacing w:after="160" w:line="259" w:lineRule="auto"/>
        <w:rPr>
          <w:b/>
          <w:lang w:val="en-US" w:eastAsia="en-US"/>
        </w:rPr>
      </w:pPr>
      <w:r w:rsidRPr="0079308D">
        <w:rPr>
          <w:b/>
          <w:noProof/>
        </w:rPr>
        <w:lastRenderedPageBreak/>
        <w:drawing>
          <wp:inline distT="0" distB="0" distL="0" distR="0" wp14:anchorId="16CB18C9" wp14:editId="47B837DD">
            <wp:extent cx="9468054" cy="5643349"/>
            <wp:effectExtent l="0" t="0" r="0" b="0"/>
            <wp:docPr id="22" name="Picture 3" descr="A picture containing text, building, window blind&#10;&#10;Description automatically generated">
              <a:extLst xmlns:a="http://schemas.openxmlformats.org/drawingml/2006/main">
                <a:ext uri="{FF2B5EF4-FFF2-40B4-BE49-F238E27FC236}">
                  <a16:creationId xmlns:a16="http://schemas.microsoft.com/office/drawing/2014/main" id="{39BC4C14-2ACB-4B1C-8768-26EEA99A23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descr="A picture containing text, building, window blind&#10;&#10;Description automatically generated">
                      <a:extLst>
                        <a:ext uri="{FF2B5EF4-FFF2-40B4-BE49-F238E27FC236}">
                          <a16:creationId xmlns:a16="http://schemas.microsoft.com/office/drawing/2014/main" id="{39BC4C14-2ACB-4B1C-8768-26EEA99A23CA}"/>
                        </a:ext>
                      </a:extLst>
                    </pic:cNvPr>
                    <pic:cNvPicPr>
                      <a:picLocks noChangeAspect="1"/>
                    </pic:cNvPicPr>
                  </pic:nvPicPr>
                  <pic:blipFill rotWithShape="1">
                    <a:blip r:embed="rId23"/>
                    <a:srcRect t="49894" b="24801"/>
                    <a:stretch/>
                  </pic:blipFill>
                  <pic:spPr>
                    <a:xfrm>
                      <a:off x="0" y="0"/>
                      <a:ext cx="9476995" cy="5648678"/>
                    </a:xfrm>
                    <a:prstGeom prst="rect">
                      <a:avLst/>
                    </a:prstGeom>
                  </pic:spPr>
                </pic:pic>
              </a:graphicData>
            </a:graphic>
          </wp:inline>
        </w:drawing>
      </w:r>
      <w:r w:rsidRPr="0079308D">
        <w:rPr>
          <w:b/>
          <w:lang w:val="en-US"/>
        </w:rPr>
        <w:t xml:space="preserve"> </w:t>
      </w:r>
      <w:r w:rsidR="00576B2B">
        <w:rPr>
          <w:b/>
          <w:lang w:val="en-US"/>
        </w:rPr>
        <w:br w:type="page"/>
      </w:r>
    </w:p>
    <w:p w14:paraId="25BEF0B7" w14:textId="440DCF99" w:rsidR="0079308D" w:rsidRDefault="00E07543">
      <w:pPr>
        <w:spacing w:after="160" w:line="259" w:lineRule="auto"/>
        <w:rPr>
          <w:b/>
          <w:lang w:val="en-US" w:eastAsia="en-US"/>
        </w:rPr>
      </w:pPr>
      <w:r>
        <w:rPr>
          <w:noProof/>
        </w:rPr>
        <w:lastRenderedPageBreak/>
        <w:drawing>
          <wp:inline distT="0" distB="0" distL="0" distR="0" wp14:anchorId="2BCDDB8D" wp14:editId="1E962BC5">
            <wp:extent cx="9656117" cy="5773003"/>
            <wp:effectExtent l="0" t="0" r="0" b="0"/>
            <wp:docPr id="23" name="Picture 3">
              <a:extLst xmlns:a="http://schemas.openxmlformats.org/drawingml/2006/main">
                <a:ext uri="{FF2B5EF4-FFF2-40B4-BE49-F238E27FC236}">
                  <a16:creationId xmlns:a16="http://schemas.microsoft.com/office/drawing/2014/main" id="{39BC4C14-2ACB-4B1C-8768-26EEA99A23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9BC4C14-2ACB-4B1C-8768-26EEA99A23CA}"/>
                        </a:ext>
                      </a:extLst>
                    </pic:cNvPr>
                    <pic:cNvPicPr>
                      <a:picLocks noChangeAspect="1"/>
                    </pic:cNvPicPr>
                  </pic:nvPicPr>
                  <pic:blipFill rotWithShape="1">
                    <a:blip r:embed="rId23"/>
                    <a:srcRect t="75199" b="-582"/>
                    <a:stretch/>
                  </pic:blipFill>
                  <pic:spPr>
                    <a:xfrm>
                      <a:off x="0" y="0"/>
                      <a:ext cx="9664186" cy="5777827"/>
                    </a:xfrm>
                    <a:prstGeom prst="rect">
                      <a:avLst/>
                    </a:prstGeom>
                  </pic:spPr>
                </pic:pic>
              </a:graphicData>
            </a:graphic>
          </wp:inline>
        </w:drawing>
      </w:r>
      <w:r>
        <w:rPr>
          <w:b/>
          <w:lang w:val="en-US"/>
        </w:rPr>
        <w:t xml:space="preserve"> </w:t>
      </w:r>
      <w:r w:rsidR="0079308D">
        <w:rPr>
          <w:b/>
          <w:lang w:val="en-US"/>
        </w:rPr>
        <w:br w:type="page"/>
      </w:r>
    </w:p>
    <w:p w14:paraId="7490E607" w14:textId="77777777" w:rsidR="00AA2ABE" w:rsidRDefault="00AA2ABE" w:rsidP="00FA3910">
      <w:pPr>
        <w:pStyle w:val="Bulletlevel4"/>
        <w:numPr>
          <w:ilvl w:val="0"/>
          <w:numId w:val="0"/>
        </w:numPr>
        <w:spacing w:line="480" w:lineRule="auto"/>
        <w:rPr>
          <w:b/>
          <w:lang w:val="en-US"/>
        </w:rPr>
        <w:sectPr w:rsidR="00AA2ABE" w:rsidSect="00E32B87">
          <w:headerReference w:type="even" r:id="rId24"/>
          <w:footerReference w:type="even" r:id="rId25"/>
          <w:headerReference w:type="first" r:id="rId26"/>
          <w:pgSz w:w="16838" w:h="11906" w:orient="landscape" w:code="9"/>
          <w:pgMar w:top="720" w:right="720" w:bottom="720" w:left="720" w:header="288" w:footer="720" w:gutter="0"/>
          <w:cols w:space="720"/>
          <w:docGrid w:linePitch="326"/>
        </w:sectPr>
      </w:pPr>
    </w:p>
    <w:p w14:paraId="5BB074A7" w14:textId="0143EBEF" w:rsidR="00FA3910" w:rsidRPr="00874ABA" w:rsidRDefault="001674E1" w:rsidP="00FA3910">
      <w:pPr>
        <w:pStyle w:val="Bulletlevel4"/>
        <w:numPr>
          <w:ilvl w:val="0"/>
          <w:numId w:val="0"/>
        </w:numPr>
        <w:spacing w:line="480" w:lineRule="auto"/>
        <w:rPr>
          <w:b/>
          <w:lang w:eastAsia="en-GB"/>
        </w:rPr>
      </w:pPr>
      <w:r w:rsidRPr="00874ABA">
        <w:rPr>
          <w:b/>
          <w:lang w:val="en-US"/>
        </w:rPr>
        <w:lastRenderedPageBreak/>
        <w:t xml:space="preserve">Supplemental </w:t>
      </w:r>
      <w:r w:rsidR="00FA3910" w:rsidRPr="00874ABA">
        <w:rPr>
          <w:rFonts w:cs="Arial"/>
          <w:b/>
        </w:rPr>
        <w:t xml:space="preserve">Data Fig. </w:t>
      </w:r>
      <w:r w:rsidR="00B3529E">
        <w:rPr>
          <w:rFonts w:cs="Arial"/>
          <w:b/>
        </w:rPr>
        <w:t>4</w:t>
      </w:r>
      <w:r w:rsidR="00B3529E" w:rsidRPr="00874ABA">
        <w:rPr>
          <w:b/>
          <w:lang w:eastAsia="en-GB"/>
        </w:rPr>
        <w:t xml:space="preserve"> </w:t>
      </w:r>
      <w:r w:rsidR="00FA3910" w:rsidRPr="00874ABA">
        <w:rPr>
          <w:b/>
          <w:lang w:eastAsia="en-GB"/>
        </w:rPr>
        <w:t xml:space="preserve">Correlation analysis of amyloid PET, plasma </w:t>
      </w:r>
      <w:r w:rsidR="00FA3910" w:rsidRPr="00874ABA">
        <w:rPr>
          <w:b/>
          <w:bCs/>
          <w:lang w:eastAsia="en-GB"/>
        </w:rPr>
        <w:t>p-tau</w:t>
      </w:r>
      <w:r w:rsidR="00FA3910" w:rsidRPr="00874ABA">
        <w:rPr>
          <w:b/>
          <w:bCs/>
          <w:vertAlign w:val="superscript"/>
          <w:lang w:eastAsia="en-GB"/>
        </w:rPr>
        <w:t>181</w:t>
      </w:r>
      <w:r w:rsidR="00FA3910" w:rsidRPr="00874ABA">
        <w:rPr>
          <w:b/>
          <w:lang w:eastAsia="en-GB"/>
        </w:rPr>
        <w:t xml:space="preserve"> and clinical efficacy </w:t>
      </w:r>
    </w:p>
    <w:p w14:paraId="1B781272" w14:textId="77777777" w:rsidR="00FA3910" w:rsidRPr="00874ABA" w:rsidRDefault="00FA3910" w:rsidP="00FA3910">
      <w:pPr>
        <w:pStyle w:val="Bulletlevel4"/>
        <w:numPr>
          <w:ilvl w:val="0"/>
          <w:numId w:val="0"/>
        </w:numPr>
        <w:spacing w:line="480" w:lineRule="auto"/>
        <w:rPr>
          <w:lang w:eastAsia="en-GB"/>
        </w:rPr>
      </w:pPr>
      <w:r w:rsidRPr="00874ABA">
        <w:rPr>
          <w:b/>
          <w:bCs/>
          <w:lang w:eastAsia="en-GB"/>
        </w:rPr>
        <w:t>Panel a</w:t>
      </w:r>
      <w:r w:rsidRPr="00874ABA">
        <w:rPr>
          <w:lang w:eastAsia="en-GB"/>
        </w:rPr>
        <w:t xml:space="preserve"> shows scatterplot of change from baseline in plasma p-tau</w:t>
      </w:r>
      <w:r w:rsidRPr="00874ABA">
        <w:rPr>
          <w:vertAlign w:val="superscript"/>
          <w:lang w:eastAsia="en-GB"/>
        </w:rPr>
        <w:t>181</w:t>
      </w:r>
      <w:r w:rsidRPr="00874ABA">
        <w:rPr>
          <w:lang w:eastAsia="en-GB"/>
        </w:rPr>
        <w:t xml:space="preserve"> levels vs. change from baseline in amyloid PET composite SUVR at Week 78 in EMERGE (left) and ENGAGE (right).</w:t>
      </w:r>
      <w:r w:rsidRPr="00874ABA">
        <w:t xml:space="preserve"> </w:t>
      </w:r>
      <w:r w:rsidRPr="00874ABA">
        <w:rPr>
          <w:lang w:eastAsia="en-GB"/>
        </w:rPr>
        <w:t xml:space="preserve">R: Partial spearman correlation adjusted for baseline p-tau, baseline amyloid PET, and age. Correlations calculated based on all arms. </w:t>
      </w:r>
    </w:p>
    <w:p w14:paraId="686868D7" w14:textId="2C99CBE2" w:rsidR="00FA3910" w:rsidRPr="00874ABA" w:rsidRDefault="00FA3910" w:rsidP="00FA3910">
      <w:pPr>
        <w:pStyle w:val="Bulletlevel4"/>
        <w:numPr>
          <w:ilvl w:val="0"/>
          <w:numId w:val="0"/>
        </w:numPr>
        <w:spacing w:line="480" w:lineRule="auto"/>
        <w:rPr>
          <w:rFonts w:cs="Arial"/>
          <w:bCs/>
        </w:rPr>
      </w:pPr>
      <w:r w:rsidRPr="00874ABA">
        <w:rPr>
          <w:rFonts w:cs="Arial"/>
          <w:b/>
        </w:rPr>
        <w:t>Panel b</w:t>
      </w:r>
      <w:r w:rsidRPr="00874ABA">
        <w:rPr>
          <w:rFonts w:cs="Arial"/>
          <w:bCs/>
        </w:rPr>
        <w:t xml:space="preserve"> shows association between treatment effect on brain Aβ plaque levels and CDR-SB across aducanumab studies (group-level analysis). </w:t>
      </w:r>
      <w:r w:rsidR="00097C18">
        <w:rPr>
          <w:rFonts w:cs="Arial"/>
          <w:bCs/>
        </w:rPr>
        <w:t xml:space="preserve">The analysis was </w:t>
      </w:r>
      <w:r w:rsidR="00097C18" w:rsidRPr="000E615F">
        <w:rPr>
          <w:rFonts w:cs="Arial"/>
          <w:bCs/>
          <w:lang w:val="en-US"/>
        </w:rPr>
        <w:t>conducted in active treatment groups</w:t>
      </w:r>
      <w:r w:rsidR="00D31B24">
        <w:rPr>
          <w:rFonts w:cs="Arial"/>
          <w:bCs/>
          <w:lang w:val="en-US"/>
        </w:rPr>
        <w:t>,</w:t>
      </w:r>
      <w:r w:rsidR="00097C18" w:rsidRPr="00874ABA">
        <w:rPr>
          <w:rFonts w:cs="Arial"/>
          <w:bCs/>
        </w:rPr>
        <w:t xml:space="preserve"> </w:t>
      </w:r>
      <w:r w:rsidR="00097C18" w:rsidRPr="000E615F">
        <w:rPr>
          <w:rFonts w:cs="Arial"/>
          <w:bCs/>
          <w:lang w:val="en-US"/>
        </w:rPr>
        <w:t>as pre-specified</w:t>
      </w:r>
      <w:r w:rsidR="00097C18">
        <w:rPr>
          <w:rFonts w:cs="Arial"/>
          <w:bCs/>
          <w:lang w:val="en-US"/>
        </w:rPr>
        <w:t>.</w:t>
      </w:r>
      <w:r w:rsidR="00097C18" w:rsidRPr="000E615F">
        <w:rPr>
          <w:rFonts w:cs="Arial"/>
          <w:bCs/>
          <w:lang w:val="en-US"/>
        </w:rPr>
        <w:t xml:space="preserve"> </w:t>
      </w:r>
      <w:r w:rsidRPr="00874ABA">
        <w:rPr>
          <w:rFonts w:cs="Arial"/>
          <w:bCs/>
        </w:rPr>
        <w:t>CDR-SB r</w:t>
      </w:r>
      <w:r w:rsidRPr="00874ABA">
        <w:rPr>
          <w:rFonts w:cs="Arial"/>
          <w:bCs/>
          <w:sz w:val="23"/>
          <w:szCs w:val="23"/>
        </w:rPr>
        <w:t xml:space="preserve">esults for EMERGE and ENGAGE were from the PET </w:t>
      </w:r>
      <w:proofErr w:type="spellStart"/>
      <w:r w:rsidRPr="00874ABA">
        <w:rPr>
          <w:rFonts w:cs="Arial"/>
          <w:bCs/>
          <w:sz w:val="23"/>
          <w:szCs w:val="23"/>
        </w:rPr>
        <w:t>substudies</w:t>
      </w:r>
      <w:proofErr w:type="spellEnd"/>
      <w:r w:rsidRPr="00874ABA">
        <w:rPr>
          <w:rFonts w:cs="Arial"/>
          <w:bCs/>
          <w:sz w:val="23"/>
          <w:szCs w:val="23"/>
        </w:rPr>
        <w:t xml:space="preserve"> using the same </w:t>
      </w:r>
      <w:r w:rsidRPr="00874ABA">
        <w:rPr>
          <w:bCs/>
          <w:lang w:val="en-US"/>
        </w:rPr>
        <w:t>mixed model for repeated measures</w:t>
      </w:r>
      <w:r w:rsidRPr="00874ABA">
        <w:rPr>
          <w:rFonts w:cs="Arial"/>
          <w:bCs/>
          <w:sz w:val="23"/>
          <w:szCs w:val="23"/>
        </w:rPr>
        <w:t xml:space="preserve"> as the primary analysis for CDR-SB</w:t>
      </w:r>
      <w:r w:rsidRPr="00874ABA">
        <w:rPr>
          <w:rFonts w:cs="Arial"/>
          <w:bCs/>
          <w:lang w:val="en-US"/>
        </w:rPr>
        <w:t xml:space="preserve">. The regression line was derived based on the data points from all three studies except the ENGAGE high-dose group. </w:t>
      </w:r>
      <w:r w:rsidR="00962A19">
        <w:rPr>
          <w:rFonts w:cs="Arial"/>
          <w:bCs/>
          <w:lang w:val="en-US"/>
        </w:rPr>
        <w:t xml:space="preserve">Sample sizes for </w:t>
      </w:r>
      <w:r w:rsidR="0084410A">
        <w:rPr>
          <w:rFonts w:cs="Arial"/>
          <w:bCs/>
          <w:lang w:val="en-US"/>
        </w:rPr>
        <w:t>each study are as follows: EMERGE (n=159 for low dose; n= 170 for high dose)</w:t>
      </w:r>
      <w:r w:rsidR="00252D0F">
        <w:rPr>
          <w:rFonts w:cs="Arial"/>
          <w:bCs/>
          <w:lang w:val="en-US"/>
        </w:rPr>
        <w:t>; ENGAGE (n=198 for low dose; n=183 for high dose); PRIME (n=29 for 1 mg/kg; n=32 for 3 mg/kg; n=30 for 6 mg/kg; n=</w:t>
      </w:r>
      <w:r w:rsidR="00032967">
        <w:rPr>
          <w:rFonts w:cs="Arial"/>
          <w:bCs/>
          <w:lang w:val="en-US"/>
        </w:rPr>
        <w:t xml:space="preserve">31 for 10 mg/kg; n=19 for titration).            </w:t>
      </w:r>
    </w:p>
    <w:p w14:paraId="088B009C" w14:textId="6BF6FB12" w:rsidR="00FA3910" w:rsidRPr="001D5F92" w:rsidRDefault="00FA3910" w:rsidP="00FA3910">
      <w:pPr>
        <w:spacing w:line="480" w:lineRule="auto"/>
        <w:rPr>
          <w:rFonts w:cs="Arial"/>
          <w:bCs/>
        </w:rPr>
      </w:pPr>
      <w:r w:rsidRPr="00874ABA">
        <w:rPr>
          <w:rFonts w:cs="Arial"/>
          <w:b/>
        </w:rPr>
        <w:t>Panel c</w:t>
      </w:r>
      <w:r w:rsidRPr="00874ABA">
        <w:rPr>
          <w:rFonts w:cs="Arial"/>
          <w:bCs/>
        </w:rPr>
        <w:t xml:space="preserve"> shows </w:t>
      </w:r>
      <w:r w:rsidRPr="00874ABA">
        <w:rPr>
          <w:lang w:val="en-US"/>
        </w:rPr>
        <w:t>c</w:t>
      </w:r>
      <w:r w:rsidRPr="00874ABA">
        <w:rPr>
          <w:bCs/>
          <w:lang w:val="en-US"/>
        </w:rPr>
        <w:t>orrelations between amyloid reduction or reduction in levels of plasma p-</w:t>
      </w:r>
      <w:proofErr w:type="gramStart"/>
      <w:r w:rsidRPr="00874ABA">
        <w:rPr>
          <w:bCs/>
          <w:lang w:val="en-US"/>
        </w:rPr>
        <w:t>tau</w:t>
      </w:r>
      <w:r w:rsidRPr="00874ABA">
        <w:rPr>
          <w:bCs/>
          <w:vertAlign w:val="superscript"/>
          <w:lang w:val="en-US"/>
        </w:rPr>
        <w:t>181</w:t>
      </w:r>
      <w:proofErr w:type="gramEnd"/>
      <w:r w:rsidRPr="00874ABA">
        <w:rPr>
          <w:bCs/>
          <w:vertAlign w:val="superscript"/>
          <w:lang w:val="en-US"/>
        </w:rPr>
        <w:t xml:space="preserve"> </w:t>
      </w:r>
      <w:r w:rsidRPr="00874ABA">
        <w:rPr>
          <w:bCs/>
          <w:lang w:val="en-US"/>
        </w:rPr>
        <w:t xml:space="preserve">and efficacy endpoints change from baseline at week 78 </w:t>
      </w:r>
      <w:r w:rsidRPr="00874ABA">
        <w:rPr>
          <w:rFonts w:cs="Arial"/>
          <w:bCs/>
        </w:rPr>
        <w:t>(participant-level analysis).</w:t>
      </w:r>
      <w:r w:rsidRPr="00874ABA">
        <w:t xml:space="preserve"> The p</w:t>
      </w:r>
      <w:r w:rsidRPr="00874ABA">
        <w:rPr>
          <w:rFonts w:cs="Arial"/>
          <w:bCs/>
        </w:rPr>
        <w:t>opulation is limited to those participants in the amyloid PET or plasma p-tau</w:t>
      </w:r>
      <w:r w:rsidRPr="00874ABA">
        <w:rPr>
          <w:rFonts w:cs="Arial"/>
          <w:bCs/>
          <w:vertAlign w:val="superscript"/>
        </w:rPr>
        <w:t>181</w:t>
      </w:r>
      <w:r w:rsidRPr="00874ABA">
        <w:rPr>
          <w:rFonts w:cs="Arial"/>
          <w:bCs/>
        </w:rPr>
        <w:t xml:space="preserve"> subgroup who completed amyloid PET assessment or collection of plasma p-tau</w:t>
      </w:r>
      <w:r w:rsidRPr="00874ABA">
        <w:rPr>
          <w:rFonts w:cs="Arial"/>
          <w:bCs/>
          <w:vertAlign w:val="superscript"/>
        </w:rPr>
        <w:t>181</w:t>
      </w:r>
      <w:r w:rsidRPr="00874ABA">
        <w:rPr>
          <w:rFonts w:cs="Arial"/>
          <w:bCs/>
        </w:rPr>
        <w:t xml:space="preserve"> and efficacy assessments at week 78. P values (nominal): *</w:t>
      </w:r>
      <w:r w:rsidRPr="00874ABA">
        <w:rPr>
          <w:rFonts w:cs="Arial"/>
          <w:bCs/>
          <w:i/>
          <w:iCs/>
        </w:rPr>
        <w:t>P</w:t>
      </w:r>
      <w:r w:rsidRPr="00874ABA">
        <w:rPr>
          <w:rFonts w:cs="Arial"/>
          <w:bCs/>
        </w:rPr>
        <w:t xml:space="preserve">&lt;.05 ** </w:t>
      </w:r>
      <w:r w:rsidRPr="00874ABA">
        <w:rPr>
          <w:rFonts w:cs="Arial"/>
          <w:bCs/>
          <w:i/>
          <w:iCs/>
        </w:rPr>
        <w:t>P</w:t>
      </w:r>
      <w:r w:rsidRPr="00874ABA">
        <w:rPr>
          <w:rFonts w:cs="Arial"/>
          <w:bCs/>
        </w:rPr>
        <w:t xml:space="preserve">&lt;.01, *** </w:t>
      </w:r>
      <w:r w:rsidRPr="00874ABA">
        <w:rPr>
          <w:rFonts w:cs="Arial"/>
          <w:bCs/>
          <w:i/>
          <w:iCs/>
        </w:rPr>
        <w:t>P</w:t>
      </w:r>
      <w:r w:rsidRPr="00874ABA">
        <w:rPr>
          <w:rFonts w:cs="Arial"/>
          <w:bCs/>
        </w:rPr>
        <w:t>&lt;.001. Correlations are partial Spearman correlations assessed in pooled low- and high-dose groups after adjustment for baseline biomarker and efficacy values</w:t>
      </w:r>
      <w:r w:rsidR="00B3231B">
        <w:rPr>
          <w:rFonts w:cs="Arial"/>
          <w:bCs/>
        </w:rPr>
        <w:t xml:space="preserve"> </w:t>
      </w:r>
      <w:r w:rsidR="00B3231B" w:rsidRPr="001D5F92">
        <w:t>(and age for correlation between plasma p-tau</w:t>
      </w:r>
      <w:r w:rsidR="00B3231B" w:rsidRPr="001D5F92">
        <w:rPr>
          <w:vertAlign w:val="superscript"/>
        </w:rPr>
        <w:t>181</w:t>
      </w:r>
      <w:r w:rsidR="00B3231B" w:rsidRPr="001D5F92">
        <w:t xml:space="preserve"> and efficacy correlation)</w:t>
      </w:r>
      <w:r w:rsidRPr="001D5F92">
        <w:rPr>
          <w:rFonts w:cs="Arial"/>
          <w:bCs/>
        </w:rPr>
        <w:t xml:space="preserve">. </w:t>
      </w:r>
    </w:p>
    <w:p w14:paraId="57A327DA" w14:textId="77777777" w:rsidR="00FA3910" w:rsidRPr="00874ABA" w:rsidRDefault="00FA3910" w:rsidP="00FA3910">
      <w:pPr>
        <w:spacing w:line="480" w:lineRule="auto"/>
        <w:rPr>
          <w:bCs/>
          <w:lang w:val="en-US"/>
        </w:rPr>
      </w:pPr>
      <w:r w:rsidRPr="00874ABA">
        <w:rPr>
          <w:rFonts w:cs="Arial"/>
          <w:bCs/>
        </w:rPr>
        <w:t xml:space="preserve">Aβ, amyloid β; ADAS-Cog13, Alzheimer’s Disease Assessment Scale–cognitive subscale (13 items); ADCS-ADL-MCI, Alzheimer’s Disease Cooperative Study–Activities of Daily Living Inventory, </w:t>
      </w:r>
      <w:proofErr w:type="spellStart"/>
      <w:r w:rsidRPr="00874ABA">
        <w:rPr>
          <w:rFonts w:cs="Arial"/>
          <w:bCs/>
        </w:rPr>
        <w:t>avg</w:t>
      </w:r>
      <w:proofErr w:type="spellEnd"/>
      <w:r w:rsidRPr="00874ABA">
        <w:rPr>
          <w:rFonts w:cs="Arial"/>
          <w:bCs/>
        </w:rPr>
        <w:t xml:space="preserve">, average; mild cognitive impairment version; CDR-SB, Clinical Dementia Rating Scale–sum of boxes; MMSE, Mini Mental State Examination; PET, positron emission tomography; </w:t>
      </w:r>
      <w:r w:rsidRPr="00874ABA">
        <w:t>p-tau, phosphorylated tau</w:t>
      </w:r>
      <w:r w:rsidRPr="00874ABA">
        <w:rPr>
          <w:rFonts w:cs="Arial"/>
          <w:bCs/>
        </w:rPr>
        <w:t>; SUVR, standardized uptake value ratio.</w:t>
      </w:r>
    </w:p>
    <w:p w14:paraId="293CC577" w14:textId="77777777" w:rsidR="00FA3910" w:rsidRPr="00874ABA" w:rsidRDefault="00FA3910" w:rsidP="00FA3910">
      <w:pPr>
        <w:spacing w:line="480" w:lineRule="auto"/>
        <w:rPr>
          <w:rFonts w:cs="Arial"/>
          <w:b/>
          <w:lang w:eastAsia="en-US"/>
        </w:rPr>
      </w:pPr>
      <w:r w:rsidRPr="00874ABA">
        <w:rPr>
          <w:rFonts w:cs="Arial"/>
          <w:b/>
        </w:rPr>
        <w:br w:type="page"/>
      </w:r>
    </w:p>
    <w:p w14:paraId="70A599BB" w14:textId="40BE70DE" w:rsidR="006A5C58" w:rsidRDefault="004E5BF4" w:rsidP="00FA3910">
      <w:pPr>
        <w:pStyle w:val="Bulletlevel4"/>
        <w:numPr>
          <w:ilvl w:val="0"/>
          <w:numId w:val="0"/>
        </w:numPr>
        <w:spacing w:line="480" w:lineRule="auto"/>
        <w:rPr>
          <w:b/>
          <w:lang w:val="en-US"/>
        </w:rPr>
      </w:pPr>
      <w:r>
        <w:rPr>
          <w:b/>
          <w:noProof/>
          <w:lang w:val="en-US"/>
        </w:rPr>
        <w:lastRenderedPageBreak/>
        <w:drawing>
          <wp:inline distT="0" distB="0" distL="0" distR="0" wp14:anchorId="794A87F6" wp14:editId="66A3A455">
            <wp:extent cx="5494177" cy="9820656"/>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5940" cy="9841683"/>
                    </a:xfrm>
                    <a:prstGeom prst="rect">
                      <a:avLst/>
                    </a:prstGeom>
                    <a:noFill/>
                  </pic:spPr>
                </pic:pic>
              </a:graphicData>
            </a:graphic>
          </wp:inline>
        </w:drawing>
      </w:r>
    </w:p>
    <w:p w14:paraId="1B7035F5" w14:textId="0BB6295B" w:rsidR="00FA3910" w:rsidRPr="00874ABA" w:rsidRDefault="001674E1" w:rsidP="00FA3910">
      <w:pPr>
        <w:pStyle w:val="Bulletlevel4"/>
        <w:numPr>
          <w:ilvl w:val="0"/>
          <w:numId w:val="0"/>
        </w:numPr>
        <w:spacing w:line="480" w:lineRule="auto"/>
        <w:rPr>
          <w:rFonts w:cs="Arial"/>
          <w:b/>
        </w:rPr>
      </w:pPr>
      <w:r w:rsidRPr="00874ABA">
        <w:rPr>
          <w:b/>
          <w:lang w:val="en-US"/>
        </w:rPr>
        <w:lastRenderedPageBreak/>
        <w:t xml:space="preserve">Supplemental </w:t>
      </w:r>
      <w:r w:rsidR="00FA3910" w:rsidRPr="00874ABA">
        <w:rPr>
          <w:rFonts w:cs="Arial"/>
          <w:b/>
        </w:rPr>
        <w:t xml:space="preserve">Data Fig. </w:t>
      </w:r>
      <w:r w:rsidR="00B3529E">
        <w:rPr>
          <w:rFonts w:cs="Arial"/>
          <w:b/>
        </w:rPr>
        <w:t>5</w:t>
      </w:r>
      <w:r w:rsidR="00B3529E" w:rsidRPr="00874ABA">
        <w:rPr>
          <w:rFonts w:cs="Arial"/>
          <w:b/>
        </w:rPr>
        <w:t xml:space="preserve"> </w:t>
      </w:r>
      <w:r w:rsidR="00FA3910" w:rsidRPr="00874ABA">
        <w:rPr>
          <w:rFonts w:cs="Arial"/>
          <w:b/>
        </w:rPr>
        <w:t>Exploratory biomarker results from EMERGE and ENGAGE</w:t>
      </w:r>
    </w:p>
    <w:p w14:paraId="3AD2B5AC" w14:textId="7AC79FE2" w:rsidR="00FA3910" w:rsidRPr="00874ABA" w:rsidRDefault="00FA3910" w:rsidP="00FA3910">
      <w:pPr>
        <w:spacing w:line="480" w:lineRule="auto"/>
        <w:rPr>
          <w:rFonts w:cs="Arial"/>
          <w:bCs/>
        </w:rPr>
      </w:pPr>
      <w:r w:rsidRPr="00874ABA">
        <w:rPr>
          <w:rFonts w:cs="Arial"/>
          <w:b/>
          <w:bCs/>
        </w:rPr>
        <w:t>Panel a</w:t>
      </w:r>
      <w:r w:rsidRPr="00874ABA">
        <w:rPr>
          <w:rFonts w:cs="Arial"/>
        </w:rPr>
        <w:t xml:space="preserve"> </w:t>
      </w:r>
      <w:proofErr w:type="gramStart"/>
      <w:r w:rsidRPr="00874ABA">
        <w:rPr>
          <w:rFonts w:cs="Arial"/>
        </w:rPr>
        <w:t>shows</w:t>
      </w:r>
      <w:proofErr w:type="gramEnd"/>
      <w:r w:rsidRPr="00874ABA">
        <w:rPr>
          <w:rFonts w:cs="Arial"/>
        </w:rPr>
        <w:t xml:space="preserve"> adjusted mean change from baseline in CSF A</w:t>
      </w:r>
      <w:r w:rsidRPr="00874ABA">
        <w:rPr>
          <w:rFonts w:ascii="Symbol" w:eastAsia="Symbol" w:hAnsi="Symbol" w:cs="Symbol"/>
        </w:rPr>
        <w:t></w:t>
      </w:r>
      <w:r w:rsidRPr="00874ABA">
        <w:rPr>
          <w:rFonts w:cs="Arial"/>
          <w:vertAlign w:val="subscript"/>
        </w:rPr>
        <w:t>1-42</w:t>
      </w:r>
      <w:r w:rsidRPr="00874ABA">
        <w:rPr>
          <w:rFonts w:cs="Arial"/>
          <w:b/>
        </w:rPr>
        <w:t xml:space="preserve"> </w:t>
      </w:r>
      <w:r w:rsidRPr="00874ABA">
        <w:rPr>
          <w:rFonts w:cs="Arial"/>
        </w:rPr>
        <w:t xml:space="preserve">values in the CSF substudy </w:t>
      </w:r>
      <w:r w:rsidRPr="00874ABA">
        <w:rPr>
          <w:rFonts w:cs="Arial"/>
          <w:bCs/>
        </w:rPr>
        <w:t>for EMERGE (left) and ENGAGE (right)</w:t>
      </w:r>
      <w:r w:rsidRPr="00874ABA">
        <w:rPr>
          <w:rFonts w:cs="Arial"/>
          <w:b/>
        </w:rPr>
        <w:t xml:space="preserve">. </w:t>
      </w:r>
      <w:r w:rsidRPr="00874ABA">
        <w:rPr>
          <w:rFonts w:cs="Arial"/>
        </w:rPr>
        <w:t>Results were based on an analysis of covariance model at week 78, fitted with change from baseline as the dependent variable, and with treatment, baseline CSF A</w:t>
      </w:r>
      <w:r w:rsidRPr="00874ABA">
        <w:rPr>
          <w:rFonts w:ascii="Symbol" w:eastAsia="Symbol" w:hAnsi="Symbol" w:cs="Symbol"/>
        </w:rPr>
        <w:t></w:t>
      </w:r>
      <w:r w:rsidRPr="00874ABA">
        <w:rPr>
          <w:rFonts w:cs="Arial"/>
          <w:vertAlign w:val="subscript"/>
        </w:rPr>
        <w:t>1-42</w:t>
      </w:r>
      <w:r w:rsidRPr="00874ABA">
        <w:rPr>
          <w:rFonts w:cs="Arial"/>
          <w:b/>
        </w:rPr>
        <w:t xml:space="preserve"> </w:t>
      </w:r>
      <w:r w:rsidRPr="00874ABA">
        <w:rPr>
          <w:rFonts w:cs="Arial"/>
        </w:rPr>
        <w:t xml:space="preserve">value, baseline age, and laboratory ApoE ε4 status (carrier and noncarrier) as the independent variables. </w:t>
      </w:r>
      <w:r w:rsidRPr="00874ABA">
        <w:rPr>
          <w:rFonts w:cs="Arial"/>
          <w:b/>
          <w:bCs/>
        </w:rPr>
        <w:t>Panel b</w:t>
      </w:r>
      <w:r w:rsidRPr="00874ABA">
        <w:rPr>
          <w:rFonts w:cs="Arial"/>
        </w:rPr>
        <w:t xml:space="preserve"> shows adjusted mean change from baseline in CSF levels of p-tau and t-tau in the CSF substudy for EMERGE (left two panels) and ENGAGE (right two panels). Results were based on an analysis of covariance model at week 78, fitted with change from baseline as the dependent variable, and with treatment, baseline biomarker value, baseline age, and laboratory ApoE ε4 status (carrier and noncarrier) as the independent variables. </w:t>
      </w:r>
      <w:r w:rsidRPr="00DC48E8">
        <w:rPr>
          <w:rFonts w:cs="Arial"/>
          <w:b/>
          <w:bCs/>
        </w:rPr>
        <w:t>Panel c</w:t>
      </w:r>
      <w:r w:rsidRPr="00DC48E8">
        <w:rPr>
          <w:rFonts w:cs="Arial"/>
        </w:rPr>
        <w:t xml:space="preserve"> shows aducanumab treatment effect on tau PET SUVR (pooled results from EMERGE and ENGAGE) in the medial temporal (</w:t>
      </w:r>
      <w:r w:rsidR="00DA6EB3" w:rsidRPr="00DC48E8">
        <w:rPr>
          <w:rFonts w:cs="Arial"/>
        </w:rPr>
        <w:t xml:space="preserve">top </w:t>
      </w:r>
      <w:r w:rsidRPr="00DC48E8">
        <w:rPr>
          <w:rFonts w:cs="Arial"/>
        </w:rPr>
        <w:t>left), temporal (</w:t>
      </w:r>
      <w:r w:rsidR="00DA6EB3" w:rsidRPr="00DC48E8">
        <w:rPr>
          <w:rFonts w:cs="Arial"/>
        </w:rPr>
        <w:t xml:space="preserve">top </w:t>
      </w:r>
      <w:r w:rsidRPr="00DC48E8">
        <w:rPr>
          <w:rFonts w:cs="Arial"/>
        </w:rPr>
        <w:t xml:space="preserve">middle), </w:t>
      </w:r>
      <w:proofErr w:type="spellStart"/>
      <w:r w:rsidRPr="00DC48E8">
        <w:rPr>
          <w:rFonts w:cs="Arial"/>
        </w:rPr>
        <w:t>afrontal</w:t>
      </w:r>
      <w:proofErr w:type="spellEnd"/>
      <w:r w:rsidRPr="00DC48E8">
        <w:rPr>
          <w:rFonts w:cs="Arial"/>
        </w:rPr>
        <w:t xml:space="preserve"> (</w:t>
      </w:r>
      <w:r w:rsidR="00DA6EB3" w:rsidRPr="00DC48E8">
        <w:rPr>
          <w:rFonts w:cs="Arial"/>
        </w:rPr>
        <w:t xml:space="preserve">top </w:t>
      </w:r>
      <w:r w:rsidRPr="00DC48E8">
        <w:rPr>
          <w:rFonts w:cs="Arial"/>
        </w:rPr>
        <w:t>right)</w:t>
      </w:r>
      <w:r w:rsidR="00DA6EB3" w:rsidRPr="00DC48E8">
        <w:rPr>
          <w:rFonts w:cs="Arial"/>
        </w:rPr>
        <w:t>, cingulate (bottom left), occipital (bottom middle), and parietal (bottom right)</w:t>
      </w:r>
      <w:r w:rsidRPr="00DC48E8">
        <w:rPr>
          <w:rFonts w:cs="Arial"/>
        </w:rPr>
        <w:t xml:space="preserve"> regions. Adjusted mean change from baseline in tau PET average standardized uptake value ratio was </w:t>
      </w:r>
      <w:r w:rsidRPr="00DC48E8">
        <w:rPr>
          <w:rFonts w:cs="Arial"/>
          <w:sz w:val="23"/>
          <w:szCs w:val="23"/>
        </w:rPr>
        <w:t xml:space="preserve">assessed by </w:t>
      </w:r>
      <w:r w:rsidRPr="00DC48E8">
        <w:rPr>
          <w:rFonts w:cs="Arial"/>
          <w:sz w:val="23"/>
          <w:szCs w:val="23"/>
          <w:vertAlign w:val="superscript"/>
        </w:rPr>
        <w:t>18</w:t>
      </w:r>
      <w:r w:rsidRPr="00DC48E8">
        <w:rPr>
          <w:rFonts w:cs="Arial"/>
          <w:sz w:val="23"/>
          <w:szCs w:val="23"/>
        </w:rPr>
        <w:t xml:space="preserve">F-MK-6240 in the tau PET substudy. </w:t>
      </w:r>
      <w:r w:rsidRPr="00DC48E8">
        <w:rPr>
          <w:rFonts w:cs="Arial"/>
          <w:lang w:val="en-US"/>
        </w:rPr>
        <w:t>Results were based on an analysis of covariance model at week 78, fitted with change from baseline as the dependent variable, and with categorical treatment, baseline tau PET value, and laboratory ApoE ε4 status (carrier and noncarrier) as independent variables.</w:t>
      </w:r>
      <w:r w:rsidRPr="00874ABA">
        <w:rPr>
          <w:rFonts w:cs="Arial"/>
          <w:lang w:val="en-US"/>
        </w:rPr>
        <w:t xml:space="preserve"> </w:t>
      </w:r>
      <w:r w:rsidRPr="00874ABA">
        <w:rPr>
          <w:rFonts w:cs="Arial"/>
          <w:b/>
          <w:bCs/>
        </w:rPr>
        <w:t xml:space="preserve">Panel d </w:t>
      </w:r>
      <w:r w:rsidRPr="00874ABA">
        <w:rPr>
          <w:rFonts w:cs="Arial"/>
        </w:rPr>
        <w:t>(EMERGE) and</w:t>
      </w:r>
      <w:r w:rsidRPr="00874ABA">
        <w:rPr>
          <w:rFonts w:cs="Arial"/>
          <w:b/>
          <w:bCs/>
        </w:rPr>
        <w:t xml:space="preserve"> panel e </w:t>
      </w:r>
      <w:r w:rsidRPr="00874ABA">
        <w:rPr>
          <w:rFonts w:cs="Arial"/>
        </w:rPr>
        <w:t xml:space="preserve">(ENGAGE) show structural MRI results at weeks 30 and 78. </w:t>
      </w:r>
      <w:r w:rsidRPr="00874ABA">
        <w:rPr>
          <w:rFonts w:cs="Arial"/>
          <w:bCs/>
        </w:rPr>
        <w:t>Results (in cm</w:t>
      </w:r>
      <w:r w:rsidRPr="00874ABA">
        <w:rPr>
          <w:rFonts w:cs="Arial"/>
          <w:bCs/>
          <w:vertAlign w:val="superscript"/>
        </w:rPr>
        <w:t>3</w:t>
      </w:r>
      <w:r w:rsidRPr="00874ABA">
        <w:rPr>
          <w:rFonts w:cs="Arial"/>
          <w:bCs/>
        </w:rPr>
        <w:t xml:space="preserve">) were based on a </w:t>
      </w:r>
      <w:r w:rsidRPr="00874ABA">
        <w:rPr>
          <w:lang w:val="en-US"/>
        </w:rPr>
        <w:t>mixed model for repeated measures</w:t>
      </w:r>
      <w:r w:rsidRPr="00874ABA">
        <w:rPr>
          <w:rFonts w:cs="Arial"/>
          <w:bCs/>
        </w:rPr>
        <w:t xml:space="preserve">, with change from baseline as dependent variable and with fixed effects of treatment group, categorical visit, treatment-by-visit interaction, baseline MRI value, baseline MRI value by visit interaction, baseline MMSE, baseline age, and laboratory ApoE ε4 status. </w:t>
      </w:r>
    </w:p>
    <w:p w14:paraId="40904DC4" w14:textId="77777777" w:rsidR="00FA3910" w:rsidRPr="00874ABA" w:rsidRDefault="00FA3910" w:rsidP="00FA3910">
      <w:pPr>
        <w:pStyle w:val="Bulletlevel4"/>
        <w:numPr>
          <w:ilvl w:val="0"/>
          <w:numId w:val="0"/>
        </w:numPr>
        <w:spacing w:line="480" w:lineRule="auto"/>
        <w:rPr>
          <w:rFonts w:cs="Arial"/>
        </w:rPr>
      </w:pPr>
      <w:r w:rsidRPr="00874ABA">
        <w:rPr>
          <w:rFonts w:cs="Arial"/>
          <w:bCs/>
        </w:rPr>
        <w:t xml:space="preserve">For all panels: </w:t>
      </w:r>
      <w:r w:rsidRPr="00874ABA">
        <w:rPr>
          <w:rFonts w:cs="Arial"/>
          <w:i/>
          <w:iCs/>
        </w:rPr>
        <w:t>P</w:t>
      </w:r>
      <w:r w:rsidRPr="00874ABA">
        <w:rPr>
          <w:rFonts w:cs="Arial"/>
        </w:rPr>
        <w:t xml:space="preserve"> values (nominal): *</w:t>
      </w:r>
      <w:r w:rsidRPr="00874ABA">
        <w:rPr>
          <w:rFonts w:cs="Arial"/>
          <w:i/>
          <w:iCs/>
        </w:rPr>
        <w:t>P</w:t>
      </w:r>
      <w:r w:rsidRPr="00874ABA">
        <w:rPr>
          <w:rFonts w:cs="Arial"/>
        </w:rPr>
        <w:t>&lt;.05, **</w:t>
      </w:r>
      <w:r w:rsidRPr="00874ABA">
        <w:rPr>
          <w:rFonts w:cs="Arial"/>
          <w:i/>
          <w:iCs/>
        </w:rPr>
        <w:t>P</w:t>
      </w:r>
      <w:r w:rsidRPr="00874ABA">
        <w:rPr>
          <w:rFonts w:cs="Arial"/>
        </w:rPr>
        <w:t>&lt;.01, and ***</w:t>
      </w:r>
      <w:r w:rsidRPr="00874ABA">
        <w:rPr>
          <w:rFonts w:cs="Arial"/>
          <w:i/>
          <w:iCs/>
        </w:rPr>
        <w:t>P</w:t>
      </w:r>
      <w:r w:rsidRPr="00874ABA">
        <w:rPr>
          <w:rFonts w:cs="Arial"/>
        </w:rPr>
        <w:t>&lt;.001.</w:t>
      </w:r>
    </w:p>
    <w:p w14:paraId="48EF19D2" w14:textId="529FB0C2" w:rsidR="006A5C58" w:rsidRDefault="00FA3910" w:rsidP="00E7146E">
      <w:pPr>
        <w:pStyle w:val="Bulletlevel4"/>
        <w:numPr>
          <w:ilvl w:val="0"/>
          <w:numId w:val="0"/>
        </w:numPr>
        <w:spacing w:line="480" w:lineRule="auto"/>
        <w:rPr>
          <w:rFonts w:cs="Arial"/>
          <w:bCs/>
        </w:rPr>
      </w:pPr>
      <w:r w:rsidRPr="00874ABA">
        <w:rPr>
          <w:rFonts w:cs="Arial"/>
          <w:bCs/>
        </w:rPr>
        <w:t xml:space="preserve">ApoE, apolipoprotein E; </w:t>
      </w:r>
      <w:r w:rsidRPr="00874ABA">
        <w:rPr>
          <w:rFonts w:cs="Arial"/>
        </w:rPr>
        <w:t xml:space="preserve">CSF, cerebrospinal fluid; </w:t>
      </w:r>
      <w:r w:rsidRPr="00874ABA">
        <w:rPr>
          <w:rFonts w:cs="Arial"/>
          <w:bCs/>
          <w:lang w:val="en-US"/>
        </w:rPr>
        <w:t xml:space="preserve">MMSE, Mini-Mental State Examination; </w:t>
      </w:r>
      <w:r w:rsidRPr="00874ABA">
        <w:rPr>
          <w:rFonts w:cs="Arial"/>
          <w:bCs/>
        </w:rPr>
        <w:t xml:space="preserve">MRI, magnetic resonance imaging; </w:t>
      </w:r>
      <w:r w:rsidRPr="00874ABA">
        <w:rPr>
          <w:rFonts w:cs="Arial"/>
        </w:rPr>
        <w:t>PET, positron emission tomography; p-tau, phosphorylated tau 181; t-tau, total tau</w:t>
      </w:r>
      <w:r w:rsidRPr="00874ABA">
        <w:rPr>
          <w:rFonts w:cs="Arial"/>
          <w:bCs/>
        </w:rPr>
        <w:t>.</w:t>
      </w:r>
      <w:r w:rsidR="006A5C58">
        <w:rPr>
          <w:rFonts w:cs="Arial"/>
          <w:bCs/>
        </w:rPr>
        <w:br w:type="page"/>
      </w:r>
    </w:p>
    <w:p w14:paraId="534CEEEF" w14:textId="60180DA6" w:rsidR="00EC136A" w:rsidRPr="00B21418" w:rsidRDefault="0057032B" w:rsidP="00E7146E">
      <w:pPr>
        <w:pStyle w:val="Bulletlevel4"/>
        <w:numPr>
          <w:ilvl w:val="0"/>
          <w:numId w:val="0"/>
        </w:numPr>
        <w:spacing w:line="480" w:lineRule="auto"/>
        <w:rPr>
          <w:lang w:val="en-US"/>
        </w:rPr>
      </w:pPr>
      <w:r>
        <w:rPr>
          <w:noProof/>
          <w:lang w:val="en-US"/>
        </w:rPr>
        <w:lastRenderedPageBreak/>
        <w:drawing>
          <wp:inline distT="0" distB="0" distL="0" distR="0" wp14:anchorId="19125BCB" wp14:editId="2DC48948">
            <wp:extent cx="6355615" cy="989406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70688" cy="9917532"/>
                    </a:xfrm>
                    <a:prstGeom prst="rect">
                      <a:avLst/>
                    </a:prstGeom>
                    <a:noFill/>
                  </pic:spPr>
                </pic:pic>
              </a:graphicData>
            </a:graphic>
          </wp:inline>
        </w:drawing>
      </w:r>
    </w:p>
    <w:sectPr w:rsidR="00EC136A" w:rsidRPr="00B21418" w:rsidSect="00AA2ABE">
      <w:pgSz w:w="11906" w:h="16838" w:code="9"/>
      <w:pgMar w:top="720" w:right="720" w:bottom="720" w:left="720" w:header="288"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E9CDE" w14:textId="77777777" w:rsidR="00EE09C1" w:rsidRDefault="00EE09C1">
      <w:pPr>
        <w:spacing w:line="240" w:lineRule="auto"/>
      </w:pPr>
      <w:r>
        <w:separator/>
      </w:r>
    </w:p>
  </w:endnote>
  <w:endnote w:type="continuationSeparator" w:id="0">
    <w:p w14:paraId="367EEF24" w14:textId="77777777" w:rsidR="00EE09C1" w:rsidRDefault="00EE09C1">
      <w:pPr>
        <w:spacing w:line="240" w:lineRule="auto"/>
      </w:pPr>
      <w:r>
        <w:continuationSeparator/>
      </w:r>
    </w:p>
  </w:endnote>
  <w:endnote w:type="continuationNotice" w:id="1">
    <w:p w14:paraId="73FF3A1F" w14:textId="77777777" w:rsidR="00EE09C1" w:rsidRDefault="00EE09C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alatino">
    <w:panose1 w:val="00000000000000000000"/>
    <w:charset w:val="4D"/>
    <w:family w:val="auto"/>
    <w:notTrueType/>
    <w:pitch w:val="variable"/>
    <w:sig w:usb0="A00002FF" w:usb1="7800205A" w:usb2="146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auto"/>
    <w:pitch w:val="variable"/>
    <w:sig w:usb0="E00002FF" w:usb1="5000785B"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D4B6B" w14:textId="77777777" w:rsidR="00FA3910" w:rsidRDefault="00FA3910" w:rsidP="00217E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531A5E" w14:textId="77777777" w:rsidR="00FA3910" w:rsidRDefault="00FA3910" w:rsidP="00217E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8C0B6" w14:textId="77777777" w:rsidR="006325EA" w:rsidRDefault="006325EA" w:rsidP="007C31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A5E068" w14:textId="77777777" w:rsidR="006325EA" w:rsidRDefault="006325EA" w:rsidP="007C31E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952A6" w14:textId="77777777" w:rsidR="00EE09C1" w:rsidRDefault="00EE09C1">
      <w:pPr>
        <w:spacing w:line="240" w:lineRule="auto"/>
      </w:pPr>
      <w:r>
        <w:separator/>
      </w:r>
    </w:p>
  </w:footnote>
  <w:footnote w:type="continuationSeparator" w:id="0">
    <w:p w14:paraId="51805DBC" w14:textId="77777777" w:rsidR="00EE09C1" w:rsidRDefault="00EE09C1">
      <w:pPr>
        <w:spacing w:line="240" w:lineRule="auto"/>
      </w:pPr>
      <w:r>
        <w:continuationSeparator/>
      </w:r>
    </w:p>
  </w:footnote>
  <w:footnote w:type="continuationNotice" w:id="1">
    <w:p w14:paraId="360FDAB9" w14:textId="77777777" w:rsidR="00EE09C1" w:rsidRDefault="00EE09C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73638"/>
      <w:docPartObj>
        <w:docPartGallery w:val="Page Numbers (Top of Page)"/>
        <w:docPartUnique/>
      </w:docPartObj>
    </w:sdtPr>
    <w:sdtEndPr>
      <w:rPr>
        <w:noProof/>
      </w:rPr>
    </w:sdtEndPr>
    <w:sdtContent>
      <w:p w14:paraId="5DAA3FEF" w14:textId="75D06FCB" w:rsidR="002B296A" w:rsidRDefault="002B296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31D6FD1" w14:textId="77777777" w:rsidR="002B296A" w:rsidRDefault="002B29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2B307" w14:textId="77777777" w:rsidR="00FA3910" w:rsidRDefault="00FA3910">
    <w:pPr>
      <w:pStyle w:val="Header"/>
    </w:pPr>
    <w:r w:rsidRPr="005F1DE7">
      <w:rPr>
        <w:noProof/>
        <w:lang w:val="en-CA" w:eastAsia="en-CA"/>
      </w:rPr>
      <mc:AlternateContent>
        <mc:Choice Requires="wps">
          <w:drawing>
            <wp:anchor distT="0" distB="0" distL="114300" distR="114300" simplePos="0" relativeHeight="251661312" behindDoc="1" locked="0" layoutInCell="0" allowOverlap="1" wp14:anchorId="333C93C9" wp14:editId="35FE5D16">
              <wp:simplePos x="0" y="0"/>
              <wp:positionH relativeFrom="margin">
                <wp:align>center</wp:align>
              </wp:positionH>
              <wp:positionV relativeFrom="margin">
                <wp:align>center</wp:align>
              </wp:positionV>
              <wp:extent cx="8328025" cy="1040765"/>
              <wp:effectExtent l="0" t="2733675" r="0" b="252158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328025" cy="1040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380157" w14:textId="77777777" w:rsidR="00FA3910" w:rsidRDefault="00FA3910" w:rsidP="00217E56">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SUBMITTED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33C93C9" id="_x0000_t202" coordsize="21600,21600" o:spt="202" path="m,l,21600r21600,l21600,xe">
              <v:stroke joinstyle="miter"/>
              <v:path gradientshapeok="t" o:connecttype="rect"/>
            </v:shapetype>
            <v:shape id="Text Box 31" o:spid="_x0000_s1026" type="#_x0000_t202" style="position:absolute;margin-left:0;margin-top:0;width:655.75pt;height:81.9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7X9AEAAMUDAAAOAAAAZHJzL2Uyb0RvYy54bWysU02P0zAQvSPxHyzfadJClxI1XZVdlssC&#10;K23Rnl1/NIHYY8Zuk/77HbvZFsENkYOVjO037715WV4PtmMHjaEFV/PppORMOwmqdbuaf9/cvVlw&#10;FqJwSnTgdM2POvDr1etXy95XegYNdEojIxAXqt7XvInRV0URZKOtCBPw2tGmAbQi0ifuCoWiJ3Tb&#10;FbOyvCp6QOURpA6BqrenTb7K+MZoGb8ZE3RkXc2JW8wr5nWb1mK1FNUOhW9aOdIQ/8DCitZR0zPU&#10;rYiC7bH9C8q2EiGAiRMJtgBjWqmzBlIzLf9Q89gIr7MWMif4s03h/8HKr4dH/4AsDh9hoAFmEcHf&#10;g/wZmIObRridXiNC32ihqPGUn8uZ3uboaay5utFD/KRa8niafC16H6oRP80jVCF12vZfQNEVsY+Q&#10;uw0GLUNI1xYfyvTkMnnDiBEN7XgeFDVgkoqLt7NFOZtzJmlvWr4r31/Nc0tRJbQ0CI8hftZgWXqp&#10;OVISMqw43IeY2F2OjFQTuxPPOGwHOpIob0EdiXRPCal5+LUXqMmAvb0BChSpNgj2iSK4xiz7pfNm&#10;eBLox96RaD90LwnJBHJUFHPCJifUDwKyHQXvIDo2zxacKI6HR7In1HQ3+DXZd9dmJReeoxLKShY4&#10;5jqF8ffvfOry962eAQAA//8DAFBLAwQUAAYACAAAACEAk2SFA9sAAAAGAQAADwAAAGRycy9kb3du&#10;cmV2LnhtbEyPzU7DMBCE70i8g7VI3KgTIioIcSpExKHH/oizG2+TgL0OsdOkPD1bLnBZzWpWM98W&#10;q9lZccIhdJ4UpIsEBFLtTUeNgv3u7e4RRIiajLaeUMEZA6zK66tC58ZPtMHTNjaCQyjkWkEbY59L&#10;GeoWnQ4L3yOxd/SD05HXoZFm0BOHOyvvk2Qpne6IG1rd42uL9ed2dArM9/HcZ9O0W6831fhlu6rC&#10;9w+lbm/ml2cQEef4dwwXfEaHkpkOfiQThFXAj8TfefGyNH0AcWC1zJ5AloX8j1/+AAAA//8DAFBL&#10;AQItABQABgAIAAAAIQC2gziS/gAAAOEBAAATAAAAAAAAAAAAAAAAAAAAAABbQ29udGVudF9UeXBl&#10;c10ueG1sUEsBAi0AFAAGAAgAAAAhADj9If/WAAAAlAEAAAsAAAAAAAAAAAAAAAAALwEAAF9yZWxz&#10;Ly5yZWxzUEsBAi0AFAAGAAgAAAAhACeyjtf0AQAAxQMAAA4AAAAAAAAAAAAAAAAALgIAAGRycy9l&#10;Mm9Eb2MueG1sUEsBAi0AFAAGAAgAAAAhAJNkhQPbAAAABgEAAA8AAAAAAAAAAAAAAAAATgQAAGRy&#10;cy9kb3ducmV2LnhtbFBLBQYAAAAABAAEAPMAAABWBQAAAAA=&#10;" o:allowincell="f" filled="f" stroked="f">
              <v:stroke joinstyle="round"/>
              <o:lock v:ext="edit" shapetype="t"/>
              <v:textbox style="mso-fit-shape-to-text:t">
                <w:txbxContent>
                  <w:p w14:paraId="08380157" w14:textId="77777777" w:rsidR="00FA3910" w:rsidRDefault="00FA3910" w:rsidP="00217E56">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SUBMITTED 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2D97D" w14:textId="77777777" w:rsidR="00FA3910" w:rsidRDefault="00FA3910">
    <w:pPr>
      <w:pStyle w:val="Header"/>
    </w:pPr>
    <w:r w:rsidRPr="005F1DE7">
      <w:rPr>
        <w:noProof/>
        <w:lang w:val="en-CA" w:eastAsia="en-CA"/>
      </w:rPr>
      <mc:AlternateContent>
        <mc:Choice Requires="wps">
          <w:drawing>
            <wp:anchor distT="0" distB="0" distL="114300" distR="114300" simplePos="0" relativeHeight="251657216" behindDoc="1" locked="0" layoutInCell="0" allowOverlap="1" wp14:anchorId="7A45F160" wp14:editId="6849EEA7">
              <wp:simplePos x="0" y="0"/>
              <wp:positionH relativeFrom="margin">
                <wp:align>center</wp:align>
              </wp:positionH>
              <wp:positionV relativeFrom="margin">
                <wp:align>center</wp:align>
              </wp:positionV>
              <wp:extent cx="8328025" cy="1040765"/>
              <wp:effectExtent l="0" t="2733675" r="0" b="252158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328025" cy="1040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AB8C97" w14:textId="77777777" w:rsidR="00FA3910" w:rsidRDefault="00FA3910" w:rsidP="00217E56">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SUBMITTED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A45F160" id="_x0000_t202" coordsize="21600,21600" o:spt="202" path="m,l,21600r21600,l21600,xe">
              <v:stroke joinstyle="miter"/>
              <v:path gradientshapeok="t" o:connecttype="rect"/>
            </v:shapetype>
            <v:shape id="Text Box 30" o:spid="_x0000_s1027" type="#_x0000_t202" style="position:absolute;margin-left:0;margin-top:0;width:655.75pt;height:81.9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FG9gEAAMwDAAAOAAAAZHJzL2Uyb0RvYy54bWysU8GO0zAQvSPxD5bvNGmhS4marsouy2WB&#10;lbZoz67tNIbYY8Zuk/79jt1si+CGyMFKxvab9968LK8H27GDxmDA1Xw6KTnTToIyblfz75u7NwvO&#10;QhROiQ6crvlRB369ev1q2ftKz6CFTmlkBOJC1fuatzH6qiiCbLUVYQJeO9psAK2I9Im7QqHoCd12&#10;xawsr4oeUHkEqUOg6u1pk68yftNoGb81TdCRdTUnbjGvmNdtWovVUlQ7FL41cqQh/oGFFcZR0zPU&#10;rYiC7dH8BWWNRAjQxIkEW0DTGKmzBlIzLf9Q89gKr7MWMif4s03h/8HKr4dH/4AsDh9hoAFmEcHf&#10;g/wZmIObVridXiNC32qhqPGUn8uZ3uboaay5utFD/KQMeTxNvha9D9WIn+YRqpA6bfsvoOiK2EfI&#10;3YYGLUNI1xYfyvTkMnnDiBEN7XgeFDVgkoqLt7NFOZtzJmlvWr4r31/Nc0tRJbQ0CI8hftZgWXqp&#10;OVISMqw43IeY2F2OjFQTuxPPOGwHZtSoIzHfgjoS956CUvPway9Qkw97ewOUKxLfINgnSuIas/oX&#10;ApvhSaAfKURi/9C9BCXzyIlRzAmbDFE/CMh2lL+D6Ng8O3FiOh4eOZ9Q093g1+TincmCLjxHQRSZ&#10;rHOMd8rk79/51OUnXD0DAAD//wMAUEsDBBQABgAIAAAAIQCTZIUD2wAAAAYBAAAPAAAAZHJzL2Rv&#10;d25yZXYueG1sTI/NTsMwEITvSLyDtUjcqBMiKghxKkTEocf+iLMbb5OAvQ6x06Q8PVsucFnNalYz&#10;3xar2VlxwiF0nhSkiwQEUu1NR42C/e7t7hFEiJqMtp5QwRkDrMrrq0Lnxk+0wdM2NoJDKORaQRtj&#10;n0sZ6hadDgvfI7F39IPTkdehkWbQE4c7K++TZCmd7ogbWt3ja4v153Z0Csz38dxn07RbrzfV+GW7&#10;qsL3D6Vub+aXZxAR5/h3DBd8RoeSmQ5+JBOEVcCPxN958bI0fQBxYLXMnkCWhfyPX/4AAAD//wMA&#10;UEsBAi0AFAAGAAgAAAAhALaDOJL+AAAA4QEAABMAAAAAAAAAAAAAAAAAAAAAAFtDb250ZW50X1R5&#10;cGVzXS54bWxQSwECLQAUAAYACAAAACEAOP0h/9YAAACUAQAACwAAAAAAAAAAAAAAAAAvAQAAX3Jl&#10;bHMvLnJlbHNQSwECLQAUAAYACAAAACEAEgARRvYBAADMAwAADgAAAAAAAAAAAAAAAAAuAgAAZHJz&#10;L2Uyb0RvYy54bWxQSwECLQAUAAYACAAAACEAk2SFA9sAAAAGAQAADwAAAAAAAAAAAAAAAABQBAAA&#10;ZHJzL2Rvd25yZXYueG1sUEsFBgAAAAAEAAQA8wAAAFgFAAAAAA==&#10;" o:allowincell="f" filled="f" stroked="f">
              <v:stroke joinstyle="round"/>
              <o:lock v:ext="edit" shapetype="t"/>
              <v:textbox style="mso-fit-shape-to-text:t">
                <w:txbxContent>
                  <w:p w14:paraId="53AB8C97" w14:textId="77777777" w:rsidR="00FA3910" w:rsidRDefault="00FA3910" w:rsidP="00217E56">
                    <w:pPr>
                      <w:jc w:val="center"/>
                      <w:rPr>
                        <w:rFonts w:cs="Arial"/>
                        <w:color w:val="C0C0C0"/>
                        <w:sz w:val="2"/>
                        <w:szCs w:val="2"/>
                        <w14:textFill>
                          <w14:solidFill>
                            <w14:srgbClr w14:val="C0C0C0">
                              <w14:alpha w14:val="50000"/>
                            </w14:srgbClr>
                          </w14:solidFill>
                        </w14:textFill>
                      </w:rPr>
                    </w:pPr>
                    <w:r>
                      <w:rPr>
                        <w:rFonts w:cs="Arial"/>
                        <w:color w:val="C0C0C0"/>
                        <w:sz w:val="2"/>
                        <w:szCs w:val="2"/>
                        <w14:textFill>
                          <w14:solidFill>
                            <w14:srgbClr w14:val="C0C0C0">
                              <w14:alpha w14:val="50000"/>
                            </w14:srgbClr>
                          </w14:solidFill>
                        </w14:textFill>
                      </w:rPr>
                      <w:t>SUBMITTED 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DBF81" w14:textId="77777777" w:rsidR="006325EA" w:rsidRDefault="00EE09C1">
    <w:pPr>
      <w:pStyle w:val="Header"/>
    </w:pPr>
    <w:r>
      <w:rPr>
        <w:noProof/>
      </w:rPr>
      <w:pict w14:anchorId="0C9682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839563" o:spid="_x0000_s1026" type="#_x0000_t136" alt="" style="position:absolute;margin-left:0;margin-top:0;width:655.75pt;height:81.95pt;rotation:315;z-index:-251658239;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SUBMITTED 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AC096" w14:textId="77777777" w:rsidR="006325EA" w:rsidRDefault="00EE09C1">
    <w:pPr>
      <w:pStyle w:val="Header"/>
    </w:pPr>
    <w:r>
      <w:rPr>
        <w:noProof/>
      </w:rPr>
      <w:pict w14:anchorId="0513F2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839562" o:spid="_x0000_s1025" type="#_x0000_t136" alt="" style="position:absolute;margin-left:0;margin-top:0;width:655.75pt;height:81.95pt;rotation:315;z-index:-2516582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SUBMITTED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76C599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055AC12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F6159B"/>
    <w:multiLevelType w:val="hybridMultilevel"/>
    <w:tmpl w:val="1B364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42DAF"/>
    <w:multiLevelType w:val="hybridMultilevel"/>
    <w:tmpl w:val="5A0E2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3A48FB"/>
    <w:multiLevelType w:val="multilevel"/>
    <w:tmpl w:val="13F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6E6673"/>
    <w:multiLevelType w:val="multilevel"/>
    <w:tmpl w:val="143A40E2"/>
    <w:styleLink w:val="Bulletlist"/>
    <w:lvl w:ilvl="0">
      <w:start w:val="1"/>
      <w:numFmt w:val="bullet"/>
      <w:lvlText w:val=""/>
      <w:lvlJc w:val="left"/>
      <w:pPr>
        <w:tabs>
          <w:tab w:val="num" w:pos="284"/>
        </w:tabs>
        <w:ind w:left="284" w:hanging="284"/>
      </w:pPr>
      <w:rPr>
        <w:rFonts w:ascii="Symbol" w:hAnsi="Symbol"/>
        <w:color w:val="auto"/>
        <w:sz w:val="22"/>
        <w:szCs w:val="22"/>
      </w:rPr>
    </w:lvl>
    <w:lvl w:ilvl="1">
      <w:start w:val="1"/>
      <w:numFmt w:val="bullet"/>
      <w:lvlRestart w:val="0"/>
      <w:pStyle w:val="Bulletlevel2"/>
      <w:lvlText w:val="–"/>
      <w:lvlJc w:val="left"/>
      <w:pPr>
        <w:tabs>
          <w:tab w:val="num" w:pos="567"/>
        </w:tabs>
        <w:ind w:left="567" w:hanging="283"/>
      </w:pPr>
      <w:rPr>
        <w:rFonts w:ascii="Arial" w:hAnsi="Arial" w:hint="default"/>
        <w:color w:val="auto"/>
        <w:sz w:val="22"/>
      </w:rPr>
    </w:lvl>
    <w:lvl w:ilvl="2">
      <w:start w:val="1"/>
      <w:numFmt w:val="bullet"/>
      <w:lvlRestart w:val="0"/>
      <w:pStyle w:val="Bulletlevel3"/>
      <w:lvlText w:val=""/>
      <w:lvlJc w:val="left"/>
      <w:pPr>
        <w:tabs>
          <w:tab w:val="num" w:pos="851"/>
        </w:tabs>
        <w:ind w:left="851" w:hanging="284"/>
      </w:pPr>
      <w:rPr>
        <w:rFonts w:ascii="Symbol" w:hAnsi="Symbol" w:hint="default"/>
        <w:color w:val="auto"/>
      </w:rPr>
    </w:lvl>
    <w:lvl w:ilvl="3">
      <w:start w:val="1"/>
      <w:numFmt w:val="bullet"/>
      <w:lvlRestart w:val="0"/>
      <w:pStyle w:val="Bulletlevel4"/>
      <w:lvlText w:val="–"/>
      <w:lvlJc w:val="left"/>
      <w:pPr>
        <w:tabs>
          <w:tab w:val="num" w:pos="1134"/>
        </w:tabs>
        <w:ind w:left="1134" w:hanging="283"/>
      </w:pPr>
      <w:rPr>
        <w:rFonts w:ascii="Arial" w:hAnsi="Arial" w:hint="default"/>
        <w:color w:val="auto"/>
        <w:sz w:val="22"/>
      </w:rPr>
    </w:lvl>
    <w:lvl w:ilvl="4">
      <w:start w:val="1"/>
      <w:numFmt w:val="bullet"/>
      <w:lvlRestart w:val="0"/>
      <w:lvlText w:val=""/>
      <w:lvlJc w:val="left"/>
      <w:pPr>
        <w:tabs>
          <w:tab w:val="num" w:pos="1418"/>
        </w:tabs>
        <w:ind w:left="1418" w:hanging="284"/>
      </w:pPr>
      <w:rPr>
        <w:rFonts w:ascii="Symbol" w:hAnsi="Symbol" w:hint="default"/>
        <w:color w:val="auto"/>
      </w:rPr>
    </w:lvl>
    <w:lvl w:ilvl="5">
      <w:start w:val="1"/>
      <w:numFmt w:val="bullet"/>
      <w:lvlRestart w:val="0"/>
      <w:lvlText w:val="–"/>
      <w:lvlJc w:val="left"/>
      <w:pPr>
        <w:tabs>
          <w:tab w:val="num" w:pos="1701"/>
        </w:tabs>
        <w:ind w:left="1701" w:hanging="283"/>
      </w:pPr>
      <w:rPr>
        <w:rFonts w:ascii="Arial" w:hAnsi="Arial" w:hint="default"/>
        <w:color w:val="auto"/>
      </w:rPr>
    </w:lvl>
    <w:lvl w:ilvl="6">
      <w:start w:val="1"/>
      <w:numFmt w:val="bullet"/>
      <w:lvlRestart w:val="0"/>
      <w:lvlText w:val=""/>
      <w:lvlJc w:val="left"/>
      <w:pPr>
        <w:tabs>
          <w:tab w:val="num" w:pos="1985"/>
        </w:tabs>
        <w:ind w:left="1985" w:hanging="284"/>
      </w:pPr>
      <w:rPr>
        <w:rFonts w:ascii="Symbol" w:hAnsi="Symbol" w:hint="default"/>
        <w:color w:val="auto"/>
      </w:rPr>
    </w:lvl>
    <w:lvl w:ilvl="7">
      <w:start w:val="1"/>
      <w:numFmt w:val="bullet"/>
      <w:lvlRestart w:val="0"/>
      <w:lvlText w:val="–"/>
      <w:lvlJc w:val="left"/>
      <w:pPr>
        <w:tabs>
          <w:tab w:val="num" w:pos="2268"/>
        </w:tabs>
        <w:ind w:left="2268" w:hanging="283"/>
      </w:pPr>
      <w:rPr>
        <w:rFonts w:ascii="Arial" w:hAnsi="Arial" w:hint="default"/>
        <w:color w:val="auto"/>
      </w:rPr>
    </w:lvl>
    <w:lvl w:ilvl="8">
      <w:start w:val="1"/>
      <w:numFmt w:val="bullet"/>
      <w:lvlRestart w:val="0"/>
      <w:lvlText w:val=""/>
      <w:lvlJc w:val="left"/>
      <w:pPr>
        <w:tabs>
          <w:tab w:val="num" w:pos="2552"/>
        </w:tabs>
        <w:ind w:left="2552" w:hanging="284"/>
      </w:pPr>
      <w:rPr>
        <w:rFonts w:ascii="Symbol" w:hAnsi="Symbol" w:hint="default"/>
        <w:color w:val="auto"/>
      </w:rPr>
    </w:lvl>
  </w:abstractNum>
  <w:abstractNum w:abstractNumId="6" w15:restartNumberingAfterBreak="0">
    <w:nsid w:val="25683310"/>
    <w:multiLevelType w:val="multilevel"/>
    <w:tmpl w:val="399EB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862BD3"/>
    <w:multiLevelType w:val="hybridMultilevel"/>
    <w:tmpl w:val="4C56F4D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871896"/>
    <w:multiLevelType w:val="hybridMultilevel"/>
    <w:tmpl w:val="702479F8"/>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DA32456"/>
    <w:multiLevelType w:val="hybridMultilevel"/>
    <w:tmpl w:val="785CE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0F559C"/>
    <w:multiLevelType w:val="multilevel"/>
    <w:tmpl w:val="CE36854E"/>
    <w:styleLink w:val="ListBullets"/>
    <w:lvl w:ilvl="0">
      <w:start w:val="1"/>
      <w:numFmt w:val="bullet"/>
      <w:lvlText w:val=""/>
      <w:lvlJc w:val="left"/>
      <w:pPr>
        <w:ind w:left="1350" w:hanging="360"/>
      </w:pPr>
      <w:rPr>
        <w:rFonts w:ascii="Symbol" w:hAnsi="Symbol" w:hint="default"/>
        <w:color w:val="auto"/>
      </w:rPr>
    </w:lvl>
    <w:lvl w:ilvl="1">
      <w:start w:val="1"/>
      <w:numFmt w:val="bullet"/>
      <w:lvlText w:val="–"/>
      <w:lvlJc w:val="left"/>
      <w:pPr>
        <w:ind w:left="714" w:hanging="354"/>
      </w:pPr>
      <w:rPr>
        <w:rFonts w:ascii="Arial" w:hAnsi="Arial" w:hint="default"/>
        <w:color w:val="auto"/>
      </w:rPr>
    </w:lvl>
    <w:lvl w:ilvl="2">
      <w:start w:val="1"/>
      <w:numFmt w:val="bullet"/>
      <w:lvlText w:val=""/>
      <w:lvlJc w:val="left"/>
      <w:pPr>
        <w:ind w:left="1072" w:hanging="358"/>
      </w:pPr>
      <w:rPr>
        <w:rFonts w:ascii="Symbol" w:hAnsi="Symbol" w:hint="default"/>
        <w:color w:val="auto"/>
      </w:rPr>
    </w:lvl>
    <w:lvl w:ilvl="3">
      <w:start w:val="1"/>
      <w:numFmt w:val="bullet"/>
      <w:lvlText w:val="–"/>
      <w:lvlJc w:val="left"/>
      <w:pPr>
        <w:ind w:left="1429" w:hanging="357"/>
      </w:pPr>
      <w:rPr>
        <w:rFonts w:ascii="Arial" w:hAnsi="Arial" w:hint="default"/>
        <w:color w:val="auto"/>
      </w:rPr>
    </w:lvl>
    <w:lvl w:ilvl="4">
      <w:start w:val="1"/>
      <w:numFmt w:val="bullet"/>
      <w:lvlText w:val=""/>
      <w:lvlJc w:val="left"/>
      <w:pPr>
        <w:ind w:left="1786" w:hanging="357"/>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2305333"/>
    <w:multiLevelType w:val="hybridMultilevel"/>
    <w:tmpl w:val="4AB68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B42A9D"/>
    <w:multiLevelType w:val="multilevel"/>
    <w:tmpl w:val="EE468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025C4A"/>
    <w:multiLevelType w:val="multilevel"/>
    <w:tmpl w:val="143A40E2"/>
    <w:numStyleLink w:val="Bulletlist"/>
  </w:abstractNum>
  <w:abstractNum w:abstractNumId="14" w15:restartNumberingAfterBreak="0">
    <w:nsid w:val="69B877FF"/>
    <w:multiLevelType w:val="multilevel"/>
    <w:tmpl w:val="BE42665A"/>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15" w15:restartNumberingAfterBreak="0">
    <w:nsid w:val="6EB72F4A"/>
    <w:multiLevelType w:val="hybridMultilevel"/>
    <w:tmpl w:val="EA58B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1035A3"/>
    <w:multiLevelType w:val="multilevel"/>
    <w:tmpl w:val="51DE486A"/>
    <w:lvl w:ilvl="0">
      <w:start w:val="1"/>
      <w:numFmt w:val="upperLetter"/>
      <w:pStyle w:val="C-Appendix"/>
      <w:lvlText w:val="Appendix %1."/>
      <w:lvlJc w:val="left"/>
      <w:pPr>
        <w:tabs>
          <w:tab w:val="num" w:pos="1987"/>
        </w:tabs>
        <w:ind w:left="1987" w:hanging="198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7BAA058A"/>
    <w:multiLevelType w:val="multilevel"/>
    <w:tmpl w:val="D30C1B78"/>
    <w:lvl w:ilvl="0">
      <w:start w:val="1"/>
      <w:numFmt w:val="bullet"/>
      <w:pStyle w:val="ListBullet"/>
      <w:lvlText w:val=""/>
      <w:lvlJc w:val="left"/>
      <w:pPr>
        <w:ind w:left="1350" w:hanging="360"/>
      </w:pPr>
      <w:rPr>
        <w:rFonts w:ascii="Symbol" w:hAnsi="Symbol" w:hint="default"/>
        <w:color w:val="auto"/>
      </w:rPr>
    </w:lvl>
    <w:lvl w:ilvl="1">
      <w:start w:val="1"/>
      <w:numFmt w:val="bullet"/>
      <w:lvlText w:val="–"/>
      <w:lvlJc w:val="left"/>
      <w:pPr>
        <w:ind w:left="714" w:hanging="354"/>
      </w:pPr>
      <w:rPr>
        <w:rFonts w:ascii="Arial" w:hAnsi="Arial" w:hint="default"/>
        <w:color w:val="auto"/>
      </w:rPr>
    </w:lvl>
    <w:lvl w:ilvl="2">
      <w:start w:val="1"/>
      <w:numFmt w:val="bullet"/>
      <w:pStyle w:val="ListBullet3"/>
      <w:lvlText w:val=""/>
      <w:lvlJc w:val="left"/>
      <w:pPr>
        <w:ind w:left="1072" w:hanging="358"/>
      </w:pPr>
      <w:rPr>
        <w:rFonts w:ascii="Symbol" w:hAnsi="Symbol" w:hint="default"/>
        <w:color w:val="auto"/>
      </w:rPr>
    </w:lvl>
    <w:lvl w:ilvl="3">
      <w:start w:val="1"/>
      <w:numFmt w:val="bullet"/>
      <w:pStyle w:val="ListBullet4"/>
      <w:lvlText w:val="–"/>
      <w:lvlJc w:val="left"/>
      <w:pPr>
        <w:ind w:left="1429" w:hanging="357"/>
      </w:pPr>
      <w:rPr>
        <w:rFonts w:ascii="Arial" w:hAnsi="Arial" w:hint="default"/>
        <w:color w:val="auto"/>
      </w:rPr>
    </w:lvl>
    <w:lvl w:ilvl="4">
      <w:start w:val="1"/>
      <w:numFmt w:val="bullet"/>
      <w:pStyle w:val="ListBullet5"/>
      <w:lvlText w:val=""/>
      <w:lvlJc w:val="left"/>
      <w:pPr>
        <w:ind w:left="1786" w:hanging="357"/>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F9F4F82"/>
    <w:multiLevelType w:val="multilevel"/>
    <w:tmpl w:val="04A0E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3"/>
    <w:lvlOverride w:ilvl="0">
      <w:lvl w:ilvl="0">
        <w:numFmt w:val="decimal"/>
        <w:lvlText w:val=""/>
        <w:lvlJc w:val="left"/>
      </w:lvl>
    </w:lvlOverride>
    <w:lvlOverride w:ilvl="1">
      <w:lvl w:ilvl="1">
        <w:start w:val="1"/>
        <w:numFmt w:val="bullet"/>
        <w:lvlRestart w:val="0"/>
        <w:pStyle w:val="Bulletlevel2"/>
        <w:lvlText w:val="–"/>
        <w:lvlJc w:val="left"/>
        <w:pPr>
          <w:tabs>
            <w:tab w:val="num" w:pos="567"/>
          </w:tabs>
          <w:ind w:left="567" w:hanging="283"/>
        </w:pPr>
        <w:rPr>
          <w:rFonts w:ascii="Arial" w:hAnsi="Arial" w:hint="default"/>
          <w:color w:val="auto"/>
          <w:sz w:val="22"/>
        </w:rPr>
      </w:lvl>
    </w:lvlOverride>
    <w:lvlOverride w:ilvl="2">
      <w:lvl w:ilvl="2">
        <w:start w:val="1"/>
        <w:numFmt w:val="bullet"/>
        <w:lvlRestart w:val="0"/>
        <w:pStyle w:val="Bulletlevel3"/>
        <w:lvlText w:val=""/>
        <w:lvlJc w:val="left"/>
        <w:pPr>
          <w:tabs>
            <w:tab w:val="num" w:pos="851"/>
          </w:tabs>
          <w:ind w:left="851" w:hanging="284"/>
        </w:pPr>
        <w:rPr>
          <w:rFonts w:ascii="Symbol" w:hAnsi="Symbol" w:hint="default"/>
          <w:color w:val="auto"/>
        </w:rPr>
      </w:lvl>
    </w:lvlOverride>
  </w:num>
  <w:num w:numId="3">
    <w:abstractNumId w:val="10"/>
  </w:num>
  <w:num w:numId="4">
    <w:abstractNumId w:val="17"/>
  </w:num>
  <w:num w:numId="5">
    <w:abstractNumId w:val="14"/>
  </w:num>
  <w:num w:numId="6">
    <w:abstractNumId w:val="15"/>
  </w:num>
  <w:num w:numId="7">
    <w:abstractNumId w:val="7"/>
  </w:num>
  <w:num w:numId="8">
    <w:abstractNumId w:val="8"/>
  </w:num>
  <w:num w:numId="9">
    <w:abstractNumId w:val="2"/>
  </w:num>
  <w:num w:numId="10">
    <w:abstractNumId w:val="3"/>
  </w:num>
  <w:num w:numId="11">
    <w:abstractNumId w:val="16"/>
  </w:num>
  <w:num w:numId="12">
    <w:abstractNumId w:val="11"/>
  </w:num>
  <w:num w:numId="13">
    <w:abstractNumId w:val="18"/>
  </w:num>
  <w:num w:numId="14">
    <w:abstractNumId w:val="6"/>
  </w:num>
  <w:num w:numId="15">
    <w:abstractNumId w:val="4"/>
  </w:num>
  <w:num w:numId="16">
    <w:abstractNumId w:val="12"/>
  </w:num>
  <w:num w:numId="17">
    <w:abstractNumId w:val="9"/>
  </w:num>
  <w:num w:numId="18">
    <w:abstractNumId w:val="0"/>
  </w:num>
  <w:num w:numId="19">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O2NDU2sLA0MzUxMjVQ0lEKTi0uzszPAykwrAUABRIACSwAAAA="/>
    <w:docVar w:name="EN.InstantFormat" w:val="&lt;ENInstantFormat&gt;&lt;Enabled&gt;0&lt;/Enabled&gt;&lt;ScanUnformatted&gt;1&lt;/ScanUnformatted&gt;&lt;ScanChanges&gt;1&lt;/ScanChanges&gt;&lt;Suspended&gt;0&lt;/Suspended&gt;&lt;/ENInstantFormat&gt;"/>
    <w:docVar w:name="EN.Layout" w:val="&lt;ENLayout&gt;&lt;Style&gt;Natur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rvpv09s5ta5rueer2652arefpv20vat2aat&quot;&gt;AI-I&lt;record-ids&gt;&lt;item&gt;73&lt;/item&gt;&lt;item&gt;75&lt;/item&gt;&lt;/record-ids&gt;&lt;/item&gt;&lt;/Libraries&gt;"/>
  </w:docVars>
  <w:rsids>
    <w:rsidRoot w:val="00700C38"/>
    <w:rsid w:val="0000060D"/>
    <w:rsid w:val="00000979"/>
    <w:rsid w:val="00000993"/>
    <w:rsid w:val="00000ABA"/>
    <w:rsid w:val="00000C36"/>
    <w:rsid w:val="00004A61"/>
    <w:rsid w:val="00005452"/>
    <w:rsid w:val="00005A5C"/>
    <w:rsid w:val="00005E3C"/>
    <w:rsid w:val="00006D71"/>
    <w:rsid w:val="0000787A"/>
    <w:rsid w:val="000079F5"/>
    <w:rsid w:val="00007AE2"/>
    <w:rsid w:val="00007B7D"/>
    <w:rsid w:val="00010778"/>
    <w:rsid w:val="0001084B"/>
    <w:rsid w:val="00010A7E"/>
    <w:rsid w:val="00011200"/>
    <w:rsid w:val="000119DD"/>
    <w:rsid w:val="00011ABE"/>
    <w:rsid w:val="00011BE2"/>
    <w:rsid w:val="00012203"/>
    <w:rsid w:val="0001395A"/>
    <w:rsid w:val="00013F23"/>
    <w:rsid w:val="000140B4"/>
    <w:rsid w:val="00014BB0"/>
    <w:rsid w:val="00014C91"/>
    <w:rsid w:val="00014FF4"/>
    <w:rsid w:val="00015A54"/>
    <w:rsid w:val="00015CC2"/>
    <w:rsid w:val="0001612E"/>
    <w:rsid w:val="00016AF0"/>
    <w:rsid w:val="00017570"/>
    <w:rsid w:val="000204E3"/>
    <w:rsid w:val="00020925"/>
    <w:rsid w:val="0002160E"/>
    <w:rsid w:val="00021D7D"/>
    <w:rsid w:val="0002223D"/>
    <w:rsid w:val="00022476"/>
    <w:rsid w:val="00022D89"/>
    <w:rsid w:val="00024039"/>
    <w:rsid w:val="0002465D"/>
    <w:rsid w:val="000248A6"/>
    <w:rsid w:val="00024CD7"/>
    <w:rsid w:val="0002533F"/>
    <w:rsid w:val="0002542B"/>
    <w:rsid w:val="00025992"/>
    <w:rsid w:val="00025BCD"/>
    <w:rsid w:val="00026085"/>
    <w:rsid w:val="000260F0"/>
    <w:rsid w:val="00026614"/>
    <w:rsid w:val="00026A29"/>
    <w:rsid w:val="00026F5C"/>
    <w:rsid w:val="000276E7"/>
    <w:rsid w:val="00027D53"/>
    <w:rsid w:val="00027F76"/>
    <w:rsid w:val="00030776"/>
    <w:rsid w:val="00030876"/>
    <w:rsid w:val="00030FE0"/>
    <w:rsid w:val="00031B9C"/>
    <w:rsid w:val="00032876"/>
    <w:rsid w:val="00032967"/>
    <w:rsid w:val="000338A9"/>
    <w:rsid w:val="00033ACF"/>
    <w:rsid w:val="00033CD8"/>
    <w:rsid w:val="00033CFD"/>
    <w:rsid w:val="00033DD6"/>
    <w:rsid w:val="000355E8"/>
    <w:rsid w:val="00035710"/>
    <w:rsid w:val="000359C4"/>
    <w:rsid w:val="00035F29"/>
    <w:rsid w:val="0003621C"/>
    <w:rsid w:val="00036421"/>
    <w:rsid w:val="00036830"/>
    <w:rsid w:val="00036CD6"/>
    <w:rsid w:val="00037525"/>
    <w:rsid w:val="0004049A"/>
    <w:rsid w:val="00041B0E"/>
    <w:rsid w:val="00041BC9"/>
    <w:rsid w:val="00041F5D"/>
    <w:rsid w:val="000426F2"/>
    <w:rsid w:val="00042AC5"/>
    <w:rsid w:val="000438A4"/>
    <w:rsid w:val="00043CA0"/>
    <w:rsid w:val="0004419E"/>
    <w:rsid w:val="0004493F"/>
    <w:rsid w:val="00044BD0"/>
    <w:rsid w:val="00044FA7"/>
    <w:rsid w:val="000458D0"/>
    <w:rsid w:val="00045AA3"/>
    <w:rsid w:val="00045DFD"/>
    <w:rsid w:val="00045F3F"/>
    <w:rsid w:val="0004602B"/>
    <w:rsid w:val="000467F0"/>
    <w:rsid w:val="00046C75"/>
    <w:rsid w:val="0004729C"/>
    <w:rsid w:val="000475B3"/>
    <w:rsid w:val="00047BE0"/>
    <w:rsid w:val="00050B59"/>
    <w:rsid w:val="00050C17"/>
    <w:rsid w:val="000517FD"/>
    <w:rsid w:val="0005204D"/>
    <w:rsid w:val="00052336"/>
    <w:rsid w:val="00052CDD"/>
    <w:rsid w:val="000531CA"/>
    <w:rsid w:val="0005486E"/>
    <w:rsid w:val="00054F15"/>
    <w:rsid w:val="00055584"/>
    <w:rsid w:val="0005567C"/>
    <w:rsid w:val="00055AAE"/>
    <w:rsid w:val="00056947"/>
    <w:rsid w:val="00056DE0"/>
    <w:rsid w:val="00056EE2"/>
    <w:rsid w:val="0005764C"/>
    <w:rsid w:val="000576C0"/>
    <w:rsid w:val="00057DBB"/>
    <w:rsid w:val="00057FDD"/>
    <w:rsid w:val="00060088"/>
    <w:rsid w:val="00060EC9"/>
    <w:rsid w:val="000617FC"/>
    <w:rsid w:val="000623C6"/>
    <w:rsid w:val="0006282C"/>
    <w:rsid w:val="00063234"/>
    <w:rsid w:val="000633B7"/>
    <w:rsid w:val="00063598"/>
    <w:rsid w:val="000638D7"/>
    <w:rsid w:val="0006481F"/>
    <w:rsid w:val="000648D2"/>
    <w:rsid w:val="0006531E"/>
    <w:rsid w:val="000656D3"/>
    <w:rsid w:val="00066C80"/>
    <w:rsid w:val="00067279"/>
    <w:rsid w:val="0006727C"/>
    <w:rsid w:val="00067736"/>
    <w:rsid w:val="00071479"/>
    <w:rsid w:val="00071531"/>
    <w:rsid w:val="00071A46"/>
    <w:rsid w:val="00071C18"/>
    <w:rsid w:val="0007329E"/>
    <w:rsid w:val="0007346B"/>
    <w:rsid w:val="0007369D"/>
    <w:rsid w:val="00073F63"/>
    <w:rsid w:val="000740FF"/>
    <w:rsid w:val="00074806"/>
    <w:rsid w:val="00074FE8"/>
    <w:rsid w:val="00075406"/>
    <w:rsid w:val="00075D37"/>
    <w:rsid w:val="00075D91"/>
    <w:rsid w:val="00076040"/>
    <w:rsid w:val="000763E6"/>
    <w:rsid w:val="000768C4"/>
    <w:rsid w:val="00076ACF"/>
    <w:rsid w:val="00077962"/>
    <w:rsid w:val="000809B7"/>
    <w:rsid w:val="00081A80"/>
    <w:rsid w:val="00081C6F"/>
    <w:rsid w:val="00081EF8"/>
    <w:rsid w:val="00081FCA"/>
    <w:rsid w:val="000833CC"/>
    <w:rsid w:val="000837FB"/>
    <w:rsid w:val="000839A7"/>
    <w:rsid w:val="0008492F"/>
    <w:rsid w:val="00085070"/>
    <w:rsid w:val="00085E3E"/>
    <w:rsid w:val="0008614B"/>
    <w:rsid w:val="000866FD"/>
    <w:rsid w:val="000875CF"/>
    <w:rsid w:val="0008772E"/>
    <w:rsid w:val="00087C95"/>
    <w:rsid w:val="00090158"/>
    <w:rsid w:val="00090BBB"/>
    <w:rsid w:val="00090D4B"/>
    <w:rsid w:val="00091CAF"/>
    <w:rsid w:val="00092BE0"/>
    <w:rsid w:val="00092BE3"/>
    <w:rsid w:val="00092E80"/>
    <w:rsid w:val="00093411"/>
    <w:rsid w:val="000939CB"/>
    <w:rsid w:val="00093A57"/>
    <w:rsid w:val="00093B67"/>
    <w:rsid w:val="00094ABD"/>
    <w:rsid w:val="00095251"/>
    <w:rsid w:val="00095499"/>
    <w:rsid w:val="000954E6"/>
    <w:rsid w:val="00095832"/>
    <w:rsid w:val="00095B32"/>
    <w:rsid w:val="00096219"/>
    <w:rsid w:val="0009646F"/>
    <w:rsid w:val="00097C18"/>
    <w:rsid w:val="000A0506"/>
    <w:rsid w:val="000A07D8"/>
    <w:rsid w:val="000A0E7F"/>
    <w:rsid w:val="000A16F8"/>
    <w:rsid w:val="000A18A0"/>
    <w:rsid w:val="000A1C41"/>
    <w:rsid w:val="000A25A0"/>
    <w:rsid w:val="000A29B0"/>
    <w:rsid w:val="000A2F84"/>
    <w:rsid w:val="000A44D9"/>
    <w:rsid w:val="000A482E"/>
    <w:rsid w:val="000A492E"/>
    <w:rsid w:val="000A4932"/>
    <w:rsid w:val="000A4CAE"/>
    <w:rsid w:val="000A4EB3"/>
    <w:rsid w:val="000A5A8E"/>
    <w:rsid w:val="000A5B2F"/>
    <w:rsid w:val="000A6183"/>
    <w:rsid w:val="000A62D4"/>
    <w:rsid w:val="000A6912"/>
    <w:rsid w:val="000A796C"/>
    <w:rsid w:val="000A7AB0"/>
    <w:rsid w:val="000A7EDB"/>
    <w:rsid w:val="000B0240"/>
    <w:rsid w:val="000B0978"/>
    <w:rsid w:val="000B1D9D"/>
    <w:rsid w:val="000B2008"/>
    <w:rsid w:val="000B219A"/>
    <w:rsid w:val="000B255F"/>
    <w:rsid w:val="000B2C72"/>
    <w:rsid w:val="000B2F84"/>
    <w:rsid w:val="000B4270"/>
    <w:rsid w:val="000B44F2"/>
    <w:rsid w:val="000B4BA4"/>
    <w:rsid w:val="000B5F31"/>
    <w:rsid w:val="000B5F48"/>
    <w:rsid w:val="000B67AD"/>
    <w:rsid w:val="000C01C6"/>
    <w:rsid w:val="000C07FC"/>
    <w:rsid w:val="000C1384"/>
    <w:rsid w:val="000C1388"/>
    <w:rsid w:val="000C19CE"/>
    <w:rsid w:val="000C1AE1"/>
    <w:rsid w:val="000C1DE6"/>
    <w:rsid w:val="000C2DC7"/>
    <w:rsid w:val="000C2F0E"/>
    <w:rsid w:val="000C3089"/>
    <w:rsid w:val="000C3198"/>
    <w:rsid w:val="000C326C"/>
    <w:rsid w:val="000C326E"/>
    <w:rsid w:val="000C3700"/>
    <w:rsid w:val="000C375A"/>
    <w:rsid w:val="000C4737"/>
    <w:rsid w:val="000C534E"/>
    <w:rsid w:val="000C6146"/>
    <w:rsid w:val="000C63CF"/>
    <w:rsid w:val="000C69E5"/>
    <w:rsid w:val="000D0022"/>
    <w:rsid w:val="000D018B"/>
    <w:rsid w:val="000D1070"/>
    <w:rsid w:val="000D1105"/>
    <w:rsid w:val="000D22DD"/>
    <w:rsid w:val="000D295D"/>
    <w:rsid w:val="000D2CA3"/>
    <w:rsid w:val="000D39DD"/>
    <w:rsid w:val="000D487A"/>
    <w:rsid w:val="000D4A0C"/>
    <w:rsid w:val="000D5915"/>
    <w:rsid w:val="000D5A9F"/>
    <w:rsid w:val="000D5D69"/>
    <w:rsid w:val="000D66DF"/>
    <w:rsid w:val="000D7801"/>
    <w:rsid w:val="000D785E"/>
    <w:rsid w:val="000D7DAF"/>
    <w:rsid w:val="000E0509"/>
    <w:rsid w:val="000E053B"/>
    <w:rsid w:val="000E11BD"/>
    <w:rsid w:val="000E14DC"/>
    <w:rsid w:val="000E17D0"/>
    <w:rsid w:val="000E1A0C"/>
    <w:rsid w:val="000E1F44"/>
    <w:rsid w:val="000E21EE"/>
    <w:rsid w:val="000E3759"/>
    <w:rsid w:val="000E37FB"/>
    <w:rsid w:val="000E38AE"/>
    <w:rsid w:val="000E3C6A"/>
    <w:rsid w:val="000E3F32"/>
    <w:rsid w:val="000E4237"/>
    <w:rsid w:val="000E47F4"/>
    <w:rsid w:val="000E4823"/>
    <w:rsid w:val="000E53BB"/>
    <w:rsid w:val="000E5E65"/>
    <w:rsid w:val="000E615F"/>
    <w:rsid w:val="000E61A9"/>
    <w:rsid w:val="000E74D7"/>
    <w:rsid w:val="000E75B5"/>
    <w:rsid w:val="000E794E"/>
    <w:rsid w:val="000E7D3B"/>
    <w:rsid w:val="000E7E1E"/>
    <w:rsid w:val="000F079E"/>
    <w:rsid w:val="000F0B6A"/>
    <w:rsid w:val="000F0FDE"/>
    <w:rsid w:val="000F1222"/>
    <w:rsid w:val="000F1436"/>
    <w:rsid w:val="000F1A88"/>
    <w:rsid w:val="000F2829"/>
    <w:rsid w:val="000F2CC9"/>
    <w:rsid w:val="000F582A"/>
    <w:rsid w:val="000F64E3"/>
    <w:rsid w:val="000F6794"/>
    <w:rsid w:val="000F715D"/>
    <w:rsid w:val="000F71EE"/>
    <w:rsid w:val="000F790A"/>
    <w:rsid w:val="000F7BD5"/>
    <w:rsid w:val="000F7E30"/>
    <w:rsid w:val="001008D3"/>
    <w:rsid w:val="0010097A"/>
    <w:rsid w:val="00100C6A"/>
    <w:rsid w:val="00100CFA"/>
    <w:rsid w:val="00102153"/>
    <w:rsid w:val="00102643"/>
    <w:rsid w:val="00103CDF"/>
    <w:rsid w:val="00103D75"/>
    <w:rsid w:val="0010480E"/>
    <w:rsid w:val="00104BF9"/>
    <w:rsid w:val="00105D9E"/>
    <w:rsid w:val="00107433"/>
    <w:rsid w:val="00107F7A"/>
    <w:rsid w:val="001107D8"/>
    <w:rsid w:val="00110A92"/>
    <w:rsid w:val="00110BE1"/>
    <w:rsid w:val="00110CE3"/>
    <w:rsid w:val="0011119E"/>
    <w:rsid w:val="001113AE"/>
    <w:rsid w:val="00112804"/>
    <w:rsid w:val="0011340D"/>
    <w:rsid w:val="0011366C"/>
    <w:rsid w:val="00113DC7"/>
    <w:rsid w:val="00114367"/>
    <w:rsid w:val="00114709"/>
    <w:rsid w:val="0011490E"/>
    <w:rsid w:val="00114C10"/>
    <w:rsid w:val="001151C7"/>
    <w:rsid w:val="001153AD"/>
    <w:rsid w:val="001155D7"/>
    <w:rsid w:val="001156BF"/>
    <w:rsid w:val="0011613D"/>
    <w:rsid w:val="0011618D"/>
    <w:rsid w:val="00117152"/>
    <w:rsid w:val="00121A95"/>
    <w:rsid w:val="001224B1"/>
    <w:rsid w:val="0012282D"/>
    <w:rsid w:val="0012392D"/>
    <w:rsid w:val="0012394E"/>
    <w:rsid w:val="00123E10"/>
    <w:rsid w:val="00124616"/>
    <w:rsid w:val="00125015"/>
    <w:rsid w:val="00125301"/>
    <w:rsid w:val="00125303"/>
    <w:rsid w:val="0012571F"/>
    <w:rsid w:val="00125944"/>
    <w:rsid w:val="0012629F"/>
    <w:rsid w:val="0012668C"/>
    <w:rsid w:val="00126A8C"/>
    <w:rsid w:val="00126E30"/>
    <w:rsid w:val="00127246"/>
    <w:rsid w:val="00127CEE"/>
    <w:rsid w:val="00127ED3"/>
    <w:rsid w:val="00130491"/>
    <w:rsid w:val="00130511"/>
    <w:rsid w:val="001307EA"/>
    <w:rsid w:val="00131B48"/>
    <w:rsid w:val="00132CBB"/>
    <w:rsid w:val="00133126"/>
    <w:rsid w:val="001331E6"/>
    <w:rsid w:val="0013386C"/>
    <w:rsid w:val="0013390C"/>
    <w:rsid w:val="00134A3D"/>
    <w:rsid w:val="00135374"/>
    <w:rsid w:val="001355E8"/>
    <w:rsid w:val="00135A07"/>
    <w:rsid w:val="00136EB3"/>
    <w:rsid w:val="001372E9"/>
    <w:rsid w:val="0013751E"/>
    <w:rsid w:val="001400BC"/>
    <w:rsid w:val="0014038A"/>
    <w:rsid w:val="001408B4"/>
    <w:rsid w:val="00141654"/>
    <w:rsid w:val="00143098"/>
    <w:rsid w:val="00143175"/>
    <w:rsid w:val="00143B51"/>
    <w:rsid w:val="001451F6"/>
    <w:rsid w:val="00146541"/>
    <w:rsid w:val="00146D5F"/>
    <w:rsid w:val="00147493"/>
    <w:rsid w:val="0014788B"/>
    <w:rsid w:val="00147A4A"/>
    <w:rsid w:val="0015000B"/>
    <w:rsid w:val="00150AB0"/>
    <w:rsid w:val="00150CE4"/>
    <w:rsid w:val="00150D61"/>
    <w:rsid w:val="00151942"/>
    <w:rsid w:val="0015201E"/>
    <w:rsid w:val="00152322"/>
    <w:rsid w:val="001527D1"/>
    <w:rsid w:val="00152CBF"/>
    <w:rsid w:val="001531DF"/>
    <w:rsid w:val="00153DE1"/>
    <w:rsid w:val="0015411A"/>
    <w:rsid w:val="0015454F"/>
    <w:rsid w:val="0015464D"/>
    <w:rsid w:val="001548ED"/>
    <w:rsid w:val="00155B83"/>
    <w:rsid w:val="00156505"/>
    <w:rsid w:val="00156F4A"/>
    <w:rsid w:val="00157D16"/>
    <w:rsid w:val="00157DD2"/>
    <w:rsid w:val="00157FCC"/>
    <w:rsid w:val="00160E94"/>
    <w:rsid w:val="0016167F"/>
    <w:rsid w:val="001617ED"/>
    <w:rsid w:val="00161E99"/>
    <w:rsid w:val="00162083"/>
    <w:rsid w:val="001629EF"/>
    <w:rsid w:val="00164117"/>
    <w:rsid w:val="0016456D"/>
    <w:rsid w:val="001646E2"/>
    <w:rsid w:val="00164713"/>
    <w:rsid w:val="00164780"/>
    <w:rsid w:val="00164AFB"/>
    <w:rsid w:val="00164E5C"/>
    <w:rsid w:val="00164E65"/>
    <w:rsid w:val="00165FBE"/>
    <w:rsid w:val="00166D73"/>
    <w:rsid w:val="00166D82"/>
    <w:rsid w:val="00166E22"/>
    <w:rsid w:val="00166FDD"/>
    <w:rsid w:val="001674E1"/>
    <w:rsid w:val="0017017D"/>
    <w:rsid w:val="0017262C"/>
    <w:rsid w:val="00172797"/>
    <w:rsid w:val="00173A29"/>
    <w:rsid w:val="00173C47"/>
    <w:rsid w:val="00173CE0"/>
    <w:rsid w:val="00174664"/>
    <w:rsid w:val="001756B7"/>
    <w:rsid w:val="00175921"/>
    <w:rsid w:val="00175F41"/>
    <w:rsid w:val="00176585"/>
    <w:rsid w:val="00176682"/>
    <w:rsid w:val="00176794"/>
    <w:rsid w:val="00176E5F"/>
    <w:rsid w:val="001772B0"/>
    <w:rsid w:val="00177F7E"/>
    <w:rsid w:val="00180211"/>
    <w:rsid w:val="00180277"/>
    <w:rsid w:val="00180E52"/>
    <w:rsid w:val="00181505"/>
    <w:rsid w:val="001818AA"/>
    <w:rsid w:val="001823F6"/>
    <w:rsid w:val="00182D7D"/>
    <w:rsid w:val="00184D44"/>
    <w:rsid w:val="00184EED"/>
    <w:rsid w:val="0018547E"/>
    <w:rsid w:val="00185B2E"/>
    <w:rsid w:val="00186064"/>
    <w:rsid w:val="00186306"/>
    <w:rsid w:val="00186383"/>
    <w:rsid w:val="0018678E"/>
    <w:rsid w:val="00186F53"/>
    <w:rsid w:val="0018763B"/>
    <w:rsid w:val="001902D3"/>
    <w:rsid w:val="00190AC6"/>
    <w:rsid w:val="00191440"/>
    <w:rsid w:val="001916FF"/>
    <w:rsid w:val="00191945"/>
    <w:rsid w:val="00191E6D"/>
    <w:rsid w:val="00191F41"/>
    <w:rsid w:val="00192872"/>
    <w:rsid w:val="00193F96"/>
    <w:rsid w:val="00194181"/>
    <w:rsid w:val="001942A7"/>
    <w:rsid w:val="00194684"/>
    <w:rsid w:val="00194C1B"/>
    <w:rsid w:val="001957FA"/>
    <w:rsid w:val="0019589C"/>
    <w:rsid w:val="00195DEF"/>
    <w:rsid w:val="00195EB4"/>
    <w:rsid w:val="00195EB5"/>
    <w:rsid w:val="00195FF2"/>
    <w:rsid w:val="001962D8"/>
    <w:rsid w:val="0019687E"/>
    <w:rsid w:val="001A0AE2"/>
    <w:rsid w:val="001A0E74"/>
    <w:rsid w:val="001A1DE1"/>
    <w:rsid w:val="001A1F4E"/>
    <w:rsid w:val="001A2367"/>
    <w:rsid w:val="001A2791"/>
    <w:rsid w:val="001A387F"/>
    <w:rsid w:val="001A3EB9"/>
    <w:rsid w:val="001A59C0"/>
    <w:rsid w:val="001A7A1E"/>
    <w:rsid w:val="001A7FFC"/>
    <w:rsid w:val="001B0276"/>
    <w:rsid w:val="001B0AB2"/>
    <w:rsid w:val="001B0BC4"/>
    <w:rsid w:val="001B0F41"/>
    <w:rsid w:val="001B12DE"/>
    <w:rsid w:val="001B17A4"/>
    <w:rsid w:val="001B238E"/>
    <w:rsid w:val="001B26C1"/>
    <w:rsid w:val="001B3352"/>
    <w:rsid w:val="001B33D5"/>
    <w:rsid w:val="001B36FE"/>
    <w:rsid w:val="001B3799"/>
    <w:rsid w:val="001B3A1D"/>
    <w:rsid w:val="001B3C52"/>
    <w:rsid w:val="001B5432"/>
    <w:rsid w:val="001B5943"/>
    <w:rsid w:val="001B5FAC"/>
    <w:rsid w:val="001B638B"/>
    <w:rsid w:val="001B6909"/>
    <w:rsid w:val="001B74BE"/>
    <w:rsid w:val="001B7A0B"/>
    <w:rsid w:val="001B7DBE"/>
    <w:rsid w:val="001B7E86"/>
    <w:rsid w:val="001C0275"/>
    <w:rsid w:val="001C0D75"/>
    <w:rsid w:val="001C2901"/>
    <w:rsid w:val="001C3978"/>
    <w:rsid w:val="001C39AA"/>
    <w:rsid w:val="001C3BA4"/>
    <w:rsid w:val="001C4314"/>
    <w:rsid w:val="001C4798"/>
    <w:rsid w:val="001C5015"/>
    <w:rsid w:val="001C509E"/>
    <w:rsid w:val="001C519A"/>
    <w:rsid w:val="001C59E5"/>
    <w:rsid w:val="001C5BFF"/>
    <w:rsid w:val="001C5DC7"/>
    <w:rsid w:val="001C646C"/>
    <w:rsid w:val="001C6489"/>
    <w:rsid w:val="001C71CE"/>
    <w:rsid w:val="001C73B2"/>
    <w:rsid w:val="001D0588"/>
    <w:rsid w:val="001D0A21"/>
    <w:rsid w:val="001D12FA"/>
    <w:rsid w:val="001D1961"/>
    <w:rsid w:val="001D3070"/>
    <w:rsid w:val="001D32F6"/>
    <w:rsid w:val="001D337A"/>
    <w:rsid w:val="001D5BD5"/>
    <w:rsid w:val="001D5F92"/>
    <w:rsid w:val="001D6E66"/>
    <w:rsid w:val="001D71EB"/>
    <w:rsid w:val="001D7F08"/>
    <w:rsid w:val="001E02C7"/>
    <w:rsid w:val="001E02FB"/>
    <w:rsid w:val="001E060D"/>
    <w:rsid w:val="001E2648"/>
    <w:rsid w:val="001E26B8"/>
    <w:rsid w:val="001E2C62"/>
    <w:rsid w:val="001E2D2C"/>
    <w:rsid w:val="001E31B1"/>
    <w:rsid w:val="001E3D36"/>
    <w:rsid w:val="001E5EB0"/>
    <w:rsid w:val="001E647D"/>
    <w:rsid w:val="001E7102"/>
    <w:rsid w:val="001E7460"/>
    <w:rsid w:val="001E773B"/>
    <w:rsid w:val="001F02D1"/>
    <w:rsid w:val="001F0614"/>
    <w:rsid w:val="001F0798"/>
    <w:rsid w:val="001F102F"/>
    <w:rsid w:val="001F2460"/>
    <w:rsid w:val="001F378F"/>
    <w:rsid w:val="001F45D1"/>
    <w:rsid w:val="001F4A70"/>
    <w:rsid w:val="001F4B6E"/>
    <w:rsid w:val="001F4C0B"/>
    <w:rsid w:val="001F4E40"/>
    <w:rsid w:val="001F4FF0"/>
    <w:rsid w:val="001F5F86"/>
    <w:rsid w:val="001F6AB5"/>
    <w:rsid w:val="001F6B4F"/>
    <w:rsid w:val="001F6E2E"/>
    <w:rsid w:val="001F748D"/>
    <w:rsid w:val="001F7A70"/>
    <w:rsid w:val="002005A6"/>
    <w:rsid w:val="002005AF"/>
    <w:rsid w:val="00200783"/>
    <w:rsid w:val="002008FA"/>
    <w:rsid w:val="00200A38"/>
    <w:rsid w:val="00201295"/>
    <w:rsid w:val="00201E91"/>
    <w:rsid w:val="0020287D"/>
    <w:rsid w:val="00202D14"/>
    <w:rsid w:val="00203113"/>
    <w:rsid w:val="002037AF"/>
    <w:rsid w:val="00203C9A"/>
    <w:rsid w:val="002040E0"/>
    <w:rsid w:val="002045C2"/>
    <w:rsid w:val="0020545B"/>
    <w:rsid w:val="00205A4A"/>
    <w:rsid w:val="002076F3"/>
    <w:rsid w:val="00207884"/>
    <w:rsid w:val="00207C18"/>
    <w:rsid w:val="002102A0"/>
    <w:rsid w:val="002104CF"/>
    <w:rsid w:val="00210A65"/>
    <w:rsid w:val="002111CC"/>
    <w:rsid w:val="00211F8A"/>
    <w:rsid w:val="00212F1B"/>
    <w:rsid w:val="00213252"/>
    <w:rsid w:val="002137B4"/>
    <w:rsid w:val="002140C0"/>
    <w:rsid w:val="002140EB"/>
    <w:rsid w:val="00214226"/>
    <w:rsid w:val="0021439B"/>
    <w:rsid w:val="0021482D"/>
    <w:rsid w:val="00214E69"/>
    <w:rsid w:val="00215509"/>
    <w:rsid w:val="00215617"/>
    <w:rsid w:val="002158DC"/>
    <w:rsid w:val="00215C56"/>
    <w:rsid w:val="00215E7B"/>
    <w:rsid w:val="00216060"/>
    <w:rsid w:val="00216E19"/>
    <w:rsid w:val="0021707E"/>
    <w:rsid w:val="00217E56"/>
    <w:rsid w:val="00217E94"/>
    <w:rsid w:val="00217ED1"/>
    <w:rsid w:val="00220386"/>
    <w:rsid w:val="002203AA"/>
    <w:rsid w:val="00220443"/>
    <w:rsid w:val="00220960"/>
    <w:rsid w:val="00220BCE"/>
    <w:rsid w:val="00221909"/>
    <w:rsid w:val="00221C17"/>
    <w:rsid w:val="00221FE5"/>
    <w:rsid w:val="00222425"/>
    <w:rsid w:val="002224EC"/>
    <w:rsid w:val="00222878"/>
    <w:rsid w:val="00223610"/>
    <w:rsid w:val="002238D4"/>
    <w:rsid w:val="00223F1D"/>
    <w:rsid w:val="0022446B"/>
    <w:rsid w:val="00224525"/>
    <w:rsid w:val="002251B8"/>
    <w:rsid w:val="002270C8"/>
    <w:rsid w:val="002278A5"/>
    <w:rsid w:val="00230197"/>
    <w:rsid w:val="0023093B"/>
    <w:rsid w:val="00231A37"/>
    <w:rsid w:val="00231E96"/>
    <w:rsid w:val="00231ED7"/>
    <w:rsid w:val="002322FA"/>
    <w:rsid w:val="00232502"/>
    <w:rsid w:val="0023264D"/>
    <w:rsid w:val="002329CD"/>
    <w:rsid w:val="00232D88"/>
    <w:rsid w:val="002331B3"/>
    <w:rsid w:val="002335E2"/>
    <w:rsid w:val="00234556"/>
    <w:rsid w:val="00234D8B"/>
    <w:rsid w:val="00234F91"/>
    <w:rsid w:val="0023635A"/>
    <w:rsid w:val="00236814"/>
    <w:rsid w:val="00236C69"/>
    <w:rsid w:val="00236DA1"/>
    <w:rsid w:val="002370F9"/>
    <w:rsid w:val="0023729A"/>
    <w:rsid w:val="00240290"/>
    <w:rsid w:val="002402AA"/>
    <w:rsid w:val="00240423"/>
    <w:rsid w:val="002410B6"/>
    <w:rsid w:val="00241310"/>
    <w:rsid w:val="00241335"/>
    <w:rsid w:val="0024146D"/>
    <w:rsid w:val="00241562"/>
    <w:rsid w:val="00242153"/>
    <w:rsid w:val="0024224B"/>
    <w:rsid w:val="00242B03"/>
    <w:rsid w:val="002430CA"/>
    <w:rsid w:val="00243D45"/>
    <w:rsid w:val="0024407D"/>
    <w:rsid w:val="00244262"/>
    <w:rsid w:val="00245669"/>
    <w:rsid w:val="00245DA6"/>
    <w:rsid w:val="0024734F"/>
    <w:rsid w:val="00247697"/>
    <w:rsid w:val="00247D15"/>
    <w:rsid w:val="0025000A"/>
    <w:rsid w:val="0025098E"/>
    <w:rsid w:val="00250CB8"/>
    <w:rsid w:val="0025160B"/>
    <w:rsid w:val="00251D50"/>
    <w:rsid w:val="00252117"/>
    <w:rsid w:val="00252316"/>
    <w:rsid w:val="00252ABB"/>
    <w:rsid w:val="00252D0F"/>
    <w:rsid w:val="002537D6"/>
    <w:rsid w:val="002539A0"/>
    <w:rsid w:val="00254498"/>
    <w:rsid w:val="00254948"/>
    <w:rsid w:val="0025510A"/>
    <w:rsid w:val="00255354"/>
    <w:rsid w:val="00255C66"/>
    <w:rsid w:val="00256B14"/>
    <w:rsid w:val="00256F86"/>
    <w:rsid w:val="002572D6"/>
    <w:rsid w:val="00260AAE"/>
    <w:rsid w:val="002616C5"/>
    <w:rsid w:val="00261ACC"/>
    <w:rsid w:val="00261BAC"/>
    <w:rsid w:val="00261BCE"/>
    <w:rsid w:val="00262745"/>
    <w:rsid w:val="00262831"/>
    <w:rsid w:val="00262AA6"/>
    <w:rsid w:val="002635B6"/>
    <w:rsid w:val="00263855"/>
    <w:rsid w:val="00263A80"/>
    <w:rsid w:val="00263D10"/>
    <w:rsid w:val="00264D7B"/>
    <w:rsid w:val="00264EEA"/>
    <w:rsid w:val="0026592F"/>
    <w:rsid w:val="00265B89"/>
    <w:rsid w:val="00265BE4"/>
    <w:rsid w:val="00266770"/>
    <w:rsid w:val="00266AE7"/>
    <w:rsid w:val="00267156"/>
    <w:rsid w:val="0026723D"/>
    <w:rsid w:val="002672B3"/>
    <w:rsid w:val="00267345"/>
    <w:rsid w:val="00267BFF"/>
    <w:rsid w:val="0027008C"/>
    <w:rsid w:val="002700E5"/>
    <w:rsid w:val="0027011C"/>
    <w:rsid w:val="00270CE6"/>
    <w:rsid w:val="00271F37"/>
    <w:rsid w:val="00272204"/>
    <w:rsid w:val="0027295C"/>
    <w:rsid w:val="00272965"/>
    <w:rsid w:val="00272CF6"/>
    <w:rsid w:val="00273131"/>
    <w:rsid w:val="002733A4"/>
    <w:rsid w:val="00273ADC"/>
    <w:rsid w:val="00273E82"/>
    <w:rsid w:val="002747DE"/>
    <w:rsid w:val="00274F7A"/>
    <w:rsid w:val="0027597D"/>
    <w:rsid w:val="00275A0B"/>
    <w:rsid w:val="002768D1"/>
    <w:rsid w:val="00276CC8"/>
    <w:rsid w:val="00277AC4"/>
    <w:rsid w:val="00277BA4"/>
    <w:rsid w:val="00280224"/>
    <w:rsid w:val="00280C29"/>
    <w:rsid w:val="00280ECE"/>
    <w:rsid w:val="00281A3C"/>
    <w:rsid w:val="00281F97"/>
    <w:rsid w:val="0028280E"/>
    <w:rsid w:val="00283864"/>
    <w:rsid w:val="00283BCD"/>
    <w:rsid w:val="002841C9"/>
    <w:rsid w:val="00285A41"/>
    <w:rsid w:val="00285CD6"/>
    <w:rsid w:val="00285F91"/>
    <w:rsid w:val="00286C1E"/>
    <w:rsid w:val="00290C7E"/>
    <w:rsid w:val="00291FDA"/>
    <w:rsid w:val="0029282C"/>
    <w:rsid w:val="00293A33"/>
    <w:rsid w:val="00293B3D"/>
    <w:rsid w:val="00293E8C"/>
    <w:rsid w:val="00294628"/>
    <w:rsid w:val="00294A5F"/>
    <w:rsid w:val="00294B53"/>
    <w:rsid w:val="0029512B"/>
    <w:rsid w:val="002952AD"/>
    <w:rsid w:val="00296091"/>
    <w:rsid w:val="00296DEA"/>
    <w:rsid w:val="002970A7"/>
    <w:rsid w:val="00297429"/>
    <w:rsid w:val="0029780F"/>
    <w:rsid w:val="00297D7B"/>
    <w:rsid w:val="002A0248"/>
    <w:rsid w:val="002A1787"/>
    <w:rsid w:val="002A1897"/>
    <w:rsid w:val="002A24B5"/>
    <w:rsid w:val="002A24ED"/>
    <w:rsid w:val="002A4480"/>
    <w:rsid w:val="002A4E92"/>
    <w:rsid w:val="002A52B1"/>
    <w:rsid w:val="002A6D0F"/>
    <w:rsid w:val="002B032D"/>
    <w:rsid w:val="002B045F"/>
    <w:rsid w:val="002B08C1"/>
    <w:rsid w:val="002B0B35"/>
    <w:rsid w:val="002B0E99"/>
    <w:rsid w:val="002B102D"/>
    <w:rsid w:val="002B1503"/>
    <w:rsid w:val="002B24CE"/>
    <w:rsid w:val="002B2640"/>
    <w:rsid w:val="002B296A"/>
    <w:rsid w:val="002B2D6D"/>
    <w:rsid w:val="002B2F2F"/>
    <w:rsid w:val="002B3B5C"/>
    <w:rsid w:val="002B46B5"/>
    <w:rsid w:val="002B470B"/>
    <w:rsid w:val="002B49CC"/>
    <w:rsid w:val="002B5141"/>
    <w:rsid w:val="002B5CC5"/>
    <w:rsid w:val="002B5FEC"/>
    <w:rsid w:val="002B62CF"/>
    <w:rsid w:val="002B6365"/>
    <w:rsid w:val="002B67F9"/>
    <w:rsid w:val="002B69C2"/>
    <w:rsid w:val="002B6AAD"/>
    <w:rsid w:val="002B7128"/>
    <w:rsid w:val="002B731E"/>
    <w:rsid w:val="002B7A77"/>
    <w:rsid w:val="002B7AEE"/>
    <w:rsid w:val="002B7FCB"/>
    <w:rsid w:val="002C0B5F"/>
    <w:rsid w:val="002C0D18"/>
    <w:rsid w:val="002C111B"/>
    <w:rsid w:val="002C16B6"/>
    <w:rsid w:val="002C1CF5"/>
    <w:rsid w:val="002C1FC9"/>
    <w:rsid w:val="002C2F6E"/>
    <w:rsid w:val="002C32A6"/>
    <w:rsid w:val="002C3543"/>
    <w:rsid w:val="002C36A0"/>
    <w:rsid w:val="002C3852"/>
    <w:rsid w:val="002C48F3"/>
    <w:rsid w:val="002C6661"/>
    <w:rsid w:val="002C67E5"/>
    <w:rsid w:val="002C69C4"/>
    <w:rsid w:val="002C69DA"/>
    <w:rsid w:val="002C76AE"/>
    <w:rsid w:val="002C7AD1"/>
    <w:rsid w:val="002D0461"/>
    <w:rsid w:val="002D0A01"/>
    <w:rsid w:val="002D0FDD"/>
    <w:rsid w:val="002D1185"/>
    <w:rsid w:val="002D1386"/>
    <w:rsid w:val="002D17F1"/>
    <w:rsid w:val="002D1D36"/>
    <w:rsid w:val="002D22BD"/>
    <w:rsid w:val="002D287E"/>
    <w:rsid w:val="002D2D40"/>
    <w:rsid w:val="002D3701"/>
    <w:rsid w:val="002D3ED9"/>
    <w:rsid w:val="002D525D"/>
    <w:rsid w:val="002D6897"/>
    <w:rsid w:val="002D7899"/>
    <w:rsid w:val="002D7E81"/>
    <w:rsid w:val="002E0208"/>
    <w:rsid w:val="002E1049"/>
    <w:rsid w:val="002E1161"/>
    <w:rsid w:val="002E14D1"/>
    <w:rsid w:val="002E1BBC"/>
    <w:rsid w:val="002E1C65"/>
    <w:rsid w:val="002E2229"/>
    <w:rsid w:val="002E383E"/>
    <w:rsid w:val="002E3CAE"/>
    <w:rsid w:val="002E4089"/>
    <w:rsid w:val="002E55F1"/>
    <w:rsid w:val="002E5624"/>
    <w:rsid w:val="002E62E3"/>
    <w:rsid w:val="002E69A3"/>
    <w:rsid w:val="002E7261"/>
    <w:rsid w:val="002E796D"/>
    <w:rsid w:val="002E7E81"/>
    <w:rsid w:val="002F0253"/>
    <w:rsid w:val="002F047E"/>
    <w:rsid w:val="002F0815"/>
    <w:rsid w:val="002F0869"/>
    <w:rsid w:val="002F1C8A"/>
    <w:rsid w:val="002F1F57"/>
    <w:rsid w:val="002F2585"/>
    <w:rsid w:val="002F3F79"/>
    <w:rsid w:val="002F46A8"/>
    <w:rsid w:val="002F49DF"/>
    <w:rsid w:val="002F4CA4"/>
    <w:rsid w:val="002F4E87"/>
    <w:rsid w:val="002F4EB3"/>
    <w:rsid w:val="002F5775"/>
    <w:rsid w:val="002F6A1C"/>
    <w:rsid w:val="002F6A33"/>
    <w:rsid w:val="002F6CEA"/>
    <w:rsid w:val="002F6D23"/>
    <w:rsid w:val="002F774A"/>
    <w:rsid w:val="002F7E87"/>
    <w:rsid w:val="003008C9"/>
    <w:rsid w:val="00300A13"/>
    <w:rsid w:val="00301D47"/>
    <w:rsid w:val="00302438"/>
    <w:rsid w:val="00302A86"/>
    <w:rsid w:val="00302CD0"/>
    <w:rsid w:val="00302CDA"/>
    <w:rsid w:val="003032CC"/>
    <w:rsid w:val="003037FC"/>
    <w:rsid w:val="00303DD7"/>
    <w:rsid w:val="00304A48"/>
    <w:rsid w:val="00305CCF"/>
    <w:rsid w:val="00306CF4"/>
    <w:rsid w:val="00307FFC"/>
    <w:rsid w:val="00311507"/>
    <w:rsid w:val="003129C7"/>
    <w:rsid w:val="00313367"/>
    <w:rsid w:val="00314310"/>
    <w:rsid w:val="003147D3"/>
    <w:rsid w:val="00315468"/>
    <w:rsid w:val="003156B6"/>
    <w:rsid w:val="003163D6"/>
    <w:rsid w:val="003163E2"/>
    <w:rsid w:val="003165C0"/>
    <w:rsid w:val="00316922"/>
    <w:rsid w:val="003169A2"/>
    <w:rsid w:val="00317257"/>
    <w:rsid w:val="003177FD"/>
    <w:rsid w:val="00317F19"/>
    <w:rsid w:val="00320BF5"/>
    <w:rsid w:val="00321300"/>
    <w:rsid w:val="0032166E"/>
    <w:rsid w:val="003216C7"/>
    <w:rsid w:val="003217E2"/>
    <w:rsid w:val="0032187E"/>
    <w:rsid w:val="00321A28"/>
    <w:rsid w:val="00322BA9"/>
    <w:rsid w:val="00322D9F"/>
    <w:rsid w:val="00322DED"/>
    <w:rsid w:val="003233FC"/>
    <w:rsid w:val="003238DB"/>
    <w:rsid w:val="00324001"/>
    <w:rsid w:val="003242B3"/>
    <w:rsid w:val="00324766"/>
    <w:rsid w:val="00324AEA"/>
    <w:rsid w:val="00324DD4"/>
    <w:rsid w:val="003264B1"/>
    <w:rsid w:val="00326ED9"/>
    <w:rsid w:val="00327BAC"/>
    <w:rsid w:val="00332149"/>
    <w:rsid w:val="0033214E"/>
    <w:rsid w:val="003324DA"/>
    <w:rsid w:val="00332610"/>
    <w:rsid w:val="003328F5"/>
    <w:rsid w:val="00332BEC"/>
    <w:rsid w:val="00333752"/>
    <w:rsid w:val="00333832"/>
    <w:rsid w:val="00333B5B"/>
    <w:rsid w:val="00333E75"/>
    <w:rsid w:val="00334064"/>
    <w:rsid w:val="00334B90"/>
    <w:rsid w:val="00334D70"/>
    <w:rsid w:val="003356D2"/>
    <w:rsid w:val="003358ED"/>
    <w:rsid w:val="00335D10"/>
    <w:rsid w:val="00335E1F"/>
    <w:rsid w:val="0033609E"/>
    <w:rsid w:val="00336B62"/>
    <w:rsid w:val="00336EA4"/>
    <w:rsid w:val="003378D9"/>
    <w:rsid w:val="00337C88"/>
    <w:rsid w:val="00340512"/>
    <w:rsid w:val="00340A0F"/>
    <w:rsid w:val="0034108A"/>
    <w:rsid w:val="003414C2"/>
    <w:rsid w:val="003416AE"/>
    <w:rsid w:val="00341CCE"/>
    <w:rsid w:val="00341F22"/>
    <w:rsid w:val="00342082"/>
    <w:rsid w:val="00342A18"/>
    <w:rsid w:val="00342CEE"/>
    <w:rsid w:val="0034317D"/>
    <w:rsid w:val="00343392"/>
    <w:rsid w:val="00343399"/>
    <w:rsid w:val="003433A1"/>
    <w:rsid w:val="00343C38"/>
    <w:rsid w:val="00343D3A"/>
    <w:rsid w:val="00343DEE"/>
    <w:rsid w:val="0034403F"/>
    <w:rsid w:val="00344481"/>
    <w:rsid w:val="003449DB"/>
    <w:rsid w:val="0034514A"/>
    <w:rsid w:val="003454E0"/>
    <w:rsid w:val="003479FC"/>
    <w:rsid w:val="003501B7"/>
    <w:rsid w:val="00350EBD"/>
    <w:rsid w:val="0035196F"/>
    <w:rsid w:val="00351ABB"/>
    <w:rsid w:val="00351D41"/>
    <w:rsid w:val="003520E7"/>
    <w:rsid w:val="0035234B"/>
    <w:rsid w:val="00352A6D"/>
    <w:rsid w:val="00352CEC"/>
    <w:rsid w:val="00353118"/>
    <w:rsid w:val="00353A83"/>
    <w:rsid w:val="00353F64"/>
    <w:rsid w:val="003543D8"/>
    <w:rsid w:val="0035562B"/>
    <w:rsid w:val="00356E42"/>
    <w:rsid w:val="00357AEB"/>
    <w:rsid w:val="00360644"/>
    <w:rsid w:val="003608D8"/>
    <w:rsid w:val="00361886"/>
    <w:rsid w:val="00361B21"/>
    <w:rsid w:val="00362598"/>
    <w:rsid w:val="003626B7"/>
    <w:rsid w:val="00362A80"/>
    <w:rsid w:val="00362D76"/>
    <w:rsid w:val="00362F2F"/>
    <w:rsid w:val="003630E5"/>
    <w:rsid w:val="00363DFE"/>
    <w:rsid w:val="00364040"/>
    <w:rsid w:val="003640BA"/>
    <w:rsid w:val="003644C1"/>
    <w:rsid w:val="00364507"/>
    <w:rsid w:val="00365046"/>
    <w:rsid w:val="00366399"/>
    <w:rsid w:val="00366600"/>
    <w:rsid w:val="0036680D"/>
    <w:rsid w:val="00366DA6"/>
    <w:rsid w:val="00367B53"/>
    <w:rsid w:val="00367DF8"/>
    <w:rsid w:val="003708CC"/>
    <w:rsid w:val="00370F53"/>
    <w:rsid w:val="00371984"/>
    <w:rsid w:val="00371B20"/>
    <w:rsid w:val="003725BC"/>
    <w:rsid w:val="0037276D"/>
    <w:rsid w:val="0037290A"/>
    <w:rsid w:val="00372CAF"/>
    <w:rsid w:val="003738F1"/>
    <w:rsid w:val="00373C31"/>
    <w:rsid w:val="00373D36"/>
    <w:rsid w:val="00373D6D"/>
    <w:rsid w:val="00374B1C"/>
    <w:rsid w:val="00374B7C"/>
    <w:rsid w:val="00374F2A"/>
    <w:rsid w:val="00375030"/>
    <w:rsid w:val="00375A4D"/>
    <w:rsid w:val="00376CB1"/>
    <w:rsid w:val="00376CC9"/>
    <w:rsid w:val="00376DE7"/>
    <w:rsid w:val="00377C32"/>
    <w:rsid w:val="003801D2"/>
    <w:rsid w:val="003811C8"/>
    <w:rsid w:val="00381CF1"/>
    <w:rsid w:val="00381D92"/>
    <w:rsid w:val="00382397"/>
    <w:rsid w:val="00382474"/>
    <w:rsid w:val="00383959"/>
    <w:rsid w:val="00383B7E"/>
    <w:rsid w:val="00384213"/>
    <w:rsid w:val="0038441C"/>
    <w:rsid w:val="00385B8C"/>
    <w:rsid w:val="003861DD"/>
    <w:rsid w:val="00386CE0"/>
    <w:rsid w:val="003870F6"/>
    <w:rsid w:val="003873AA"/>
    <w:rsid w:val="0038742F"/>
    <w:rsid w:val="00387E19"/>
    <w:rsid w:val="00387EFF"/>
    <w:rsid w:val="003928B6"/>
    <w:rsid w:val="00392AA5"/>
    <w:rsid w:val="00393A36"/>
    <w:rsid w:val="00394518"/>
    <w:rsid w:val="00395D0D"/>
    <w:rsid w:val="00395DE6"/>
    <w:rsid w:val="00397824"/>
    <w:rsid w:val="003979B3"/>
    <w:rsid w:val="003A00C1"/>
    <w:rsid w:val="003A079B"/>
    <w:rsid w:val="003A0F3C"/>
    <w:rsid w:val="003A2734"/>
    <w:rsid w:val="003A3058"/>
    <w:rsid w:val="003A394E"/>
    <w:rsid w:val="003A39F3"/>
    <w:rsid w:val="003A3ACF"/>
    <w:rsid w:val="003A401C"/>
    <w:rsid w:val="003A57A2"/>
    <w:rsid w:val="003A5B2A"/>
    <w:rsid w:val="003A6F0F"/>
    <w:rsid w:val="003A718C"/>
    <w:rsid w:val="003B0051"/>
    <w:rsid w:val="003B0696"/>
    <w:rsid w:val="003B11F7"/>
    <w:rsid w:val="003B1B3C"/>
    <w:rsid w:val="003B30FF"/>
    <w:rsid w:val="003B3DFC"/>
    <w:rsid w:val="003B57DC"/>
    <w:rsid w:val="003B5A4D"/>
    <w:rsid w:val="003B637F"/>
    <w:rsid w:val="003B6A1A"/>
    <w:rsid w:val="003B7A21"/>
    <w:rsid w:val="003C0334"/>
    <w:rsid w:val="003C0793"/>
    <w:rsid w:val="003C09E4"/>
    <w:rsid w:val="003C0BC6"/>
    <w:rsid w:val="003C1561"/>
    <w:rsid w:val="003C1DA2"/>
    <w:rsid w:val="003C2764"/>
    <w:rsid w:val="003C31C0"/>
    <w:rsid w:val="003C4449"/>
    <w:rsid w:val="003C506D"/>
    <w:rsid w:val="003C57B6"/>
    <w:rsid w:val="003C5F88"/>
    <w:rsid w:val="003C5FBC"/>
    <w:rsid w:val="003C66D7"/>
    <w:rsid w:val="003C6B13"/>
    <w:rsid w:val="003C6CB3"/>
    <w:rsid w:val="003C6ED1"/>
    <w:rsid w:val="003C70F4"/>
    <w:rsid w:val="003C7486"/>
    <w:rsid w:val="003C74DA"/>
    <w:rsid w:val="003D081B"/>
    <w:rsid w:val="003D0F6E"/>
    <w:rsid w:val="003D1DB1"/>
    <w:rsid w:val="003D2C6A"/>
    <w:rsid w:val="003D2EEC"/>
    <w:rsid w:val="003D35DE"/>
    <w:rsid w:val="003D3A50"/>
    <w:rsid w:val="003D4669"/>
    <w:rsid w:val="003D49A8"/>
    <w:rsid w:val="003D4D8D"/>
    <w:rsid w:val="003D4E0D"/>
    <w:rsid w:val="003D5336"/>
    <w:rsid w:val="003D5511"/>
    <w:rsid w:val="003D59F4"/>
    <w:rsid w:val="003D6176"/>
    <w:rsid w:val="003D69DF"/>
    <w:rsid w:val="003D6BA6"/>
    <w:rsid w:val="003D77D7"/>
    <w:rsid w:val="003D7943"/>
    <w:rsid w:val="003E08C1"/>
    <w:rsid w:val="003E1472"/>
    <w:rsid w:val="003E2588"/>
    <w:rsid w:val="003E29F0"/>
    <w:rsid w:val="003E2CE4"/>
    <w:rsid w:val="003E30C3"/>
    <w:rsid w:val="003E322F"/>
    <w:rsid w:val="003E3FE7"/>
    <w:rsid w:val="003E4330"/>
    <w:rsid w:val="003E45A6"/>
    <w:rsid w:val="003E4895"/>
    <w:rsid w:val="003E4C3D"/>
    <w:rsid w:val="003E517E"/>
    <w:rsid w:val="003E5580"/>
    <w:rsid w:val="003E61AF"/>
    <w:rsid w:val="003E6745"/>
    <w:rsid w:val="003E697E"/>
    <w:rsid w:val="003E6AD9"/>
    <w:rsid w:val="003E706E"/>
    <w:rsid w:val="003F159A"/>
    <w:rsid w:val="003F1DCF"/>
    <w:rsid w:val="003F3AFF"/>
    <w:rsid w:val="003F3C7C"/>
    <w:rsid w:val="003F3FB7"/>
    <w:rsid w:val="003F448B"/>
    <w:rsid w:val="003F63FF"/>
    <w:rsid w:val="003F7477"/>
    <w:rsid w:val="003F7DEC"/>
    <w:rsid w:val="003F7F44"/>
    <w:rsid w:val="004019CD"/>
    <w:rsid w:val="00402F63"/>
    <w:rsid w:val="00403216"/>
    <w:rsid w:val="00403446"/>
    <w:rsid w:val="004035E7"/>
    <w:rsid w:val="004044DC"/>
    <w:rsid w:val="0040471E"/>
    <w:rsid w:val="00405DB9"/>
    <w:rsid w:val="004063CC"/>
    <w:rsid w:val="004069DF"/>
    <w:rsid w:val="0040781D"/>
    <w:rsid w:val="00410490"/>
    <w:rsid w:val="0041081F"/>
    <w:rsid w:val="00410A11"/>
    <w:rsid w:val="00410C7A"/>
    <w:rsid w:val="004113D6"/>
    <w:rsid w:val="004113DB"/>
    <w:rsid w:val="00411872"/>
    <w:rsid w:val="00411F24"/>
    <w:rsid w:val="004123F2"/>
    <w:rsid w:val="00412B88"/>
    <w:rsid w:val="00412E06"/>
    <w:rsid w:val="004131FC"/>
    <w:rsid w:val="0041380D"/>
    <w:rsid w:val="00414326"/>
    <w:rsid w:val="0041452B"/>
    <w:rsid w:val="00415422"/>
    <w:rsid w:val="004155B6"/>
    <w:rsid w:val="00416597"/>
    <w:rsid w:val="00416679"/>
    <w:rsid w:val="00416B4F"/>
    <w:rsid w:val="00416E8A"/>
    <w:rsid w:val="00417190"/>
    <w:rsid w:val="004176EC"/>
    <w:rsid w:val="00420C0E"/>
    <w:rsid w:val="00420C22"/>
    <w:rsid w:val="00421837"/>
    <w:rsid w:val="004219A6"/>
    <w:rsid w:val="00422C0D"/>
    <w:rsid w:val="004236FC"/>
    <w:rsid w:val="00424507"/>
    <w:rsid w:val="004254F0"/>
    <w:rsid w:val="00426173"/>
    <w:rsid w:val="00426715"/>
    <w:rsid w:val="00426906"/>
    <w:rsid w:val="004279C3"/>
    <w:rsid w:val="004306A3"/>
    <w:rsid w:val="004307CA"/>
    <w:rsid w:val="00430FE3"/>
    <w:rsid w:val="00431504"/>
    <w:rsid w:val="00431767"/>
    <w:rsid w:val="00431892"/>
    <w:rsid w:val="00431FC1"/>
    <w:rsid w:val="004326D3"/>
    <w:rsid w:val="00432884"/>
    <w:rsid w:val="00432CBD"/>
    <w:rsid w:val="00432F33"/>
    <w:rsid w:val="00434667"/>
    <w:rsid w:val="004346CE"/>
    <w:rsid w:val="00434AA7"/>
    <w:rsid w:val="0043580A"/>
    <w:rsid w:val="004359A2"/>
    <w:rsid w:val="00435D05"/>
    <w:rsid w:val="00435D7F"/>
    <w:rsid w:val="00436107"/>
    <w:rsid w:val="004361C7"/>
    <w:rsid w:val="004368E7"/>
    <w:rsid w:val="00436F75"/>
    <w:rsid w:val="00437218"/>
    <w:rsid w:val="0044178A"/>
    <w:rsid w:val="004425C4"/>
    <w:rsid w:val="00443A1A"/>
    <w:rsid w:val="0044708C"/>
    <w:rsid w:val="0044713E"/>
    <w:rsid w:val="0044729C"/>
    <w:rsid w:val="00450D9E"/>
    <w:rsid w:val="004513BF"/>
    <w:rsid w:val="00451400"/>
    <w:rsid w:val="004516E0"/>
    <w:rsid w:val="00452E46"/>
    <w:rsid w:val="00453526"/>
    <w:rsid w:val="004535D5"/>
    <w:rsid w:val="0045395F"/>
    <w:rsid w:val="00453ABB"/>
    <w:rsid w:val="004550AE"/>
    <w:rsid w:val="004559DC"/>
    <w:rsid w:val="004567C7"/>
    <w:rsid w:val="0045696D"/>
    <w:rsid w:val="00457EB7"/>
    <w:rsid w:val="004603C6"/>
    <w:rsid w:val="004605F3"/>
    <w:rsid w:val="004606F2"/>
    <w:rsid w:val="00460A7C"/>
    <w:rsid w:val="00461102"/>
    <w:rsid w:val="00461AA5"/>
    <w:rsid w:val="00462B72"/>
    <w:rsid w:val="00463725"/>
    <w:rsid w:val="0046473C"/>
    <w:rsid w:val="00464F6B"/>
    <w:rsid w:val="004660D7"/>
    <w:rsid w:val="00466518"/>
    <w:rsid w:val="0046654B"/>
    <w:rsid w:val="004665B1"/>
    <w:rsid w:val="0047033C"/>
    <w:rsid w:val="004706E3"/>
    <w:rsid w:val="00470EC9"/>
    <w:rsid w:val="0047170C"/>
    <w:rsid w:val="00471D05"/>
    <w:rsid w:val="00472564"/>
    <w:rsid w:val="00473592"/>
    <w:rsid w:val="00473D93"/>
    <w:rsid w:val="00475191"/>
    <w:rsid w:val="00475766"/>
    <w:rsid w:val="00475929"/>
    <w:rsid w:val="00475BF8"/>
    <w:rsid w:val="00476109"/>
    <w:rsid w:val="004769DE"/>
    <w:rsid w:val="00477C6D"/>
    <w:rsid w:val="004809EA"/>
    <w:rsid w:val="00481474"/>
    <w:rsid w:val="00481B4D"/>
    <w:rsid w:val="00481BD3"/>
    <w:rsid w:val="0048222C"/>
    <w:rsid w:val="004831A5"/>
    <w:rsid w:val="004835CB"/>
    <w:rsid w:val="00483F66"/>
    <w:rsid w:val="004841D4"/>
    <w:rsid w:val="004843A0"/>
    <w:rsid w:val="00484769"/>
    <w:rsid w:val="00484A68"/>
    <w:rsid w:val="00484D46"/>
    <w:rsid w:val="0048506C"/>
    <w:rsid w:val="00485B29"/>
    <w:rsid w:val="00485BDF"/>
    <w:rsid w:val="004876DF"/>
    <w:rsid w:val="0049021F"/>
    <w:rsid w:val="00491116"/>
    <w:rsid w:val="00491321"/>
    <w:rsid w:val="00491DAF"/>
    <w:rsid w:val="00493979"/>
    <w:rsid w:val="00494790"/>
    <w:rsid w:val="004948CF"/>
    <w:rsid w:val="004948DF"/>
    <w:rsid w:val="00494A18"/>
    <w:rsid w:val="00494C34"/>
    <w:rsid w:val="004966CF"/>
    <w:rsid w:val="004968C6"/>
    <w:rsid w:val="00496D5B"/>
    <w:rsid w:val="00496E14"/>
    <w:rsid w:val="0049774A"/>
    <w:rsid w:val="00497F2F"/>
    <w:rsid w:val="004A0683"/>
    <w:rsid w:val="004A08FB"/>
    <w:rsid w:val="004A09F6"/>
    <w:rsid w:val="004A1404"/>
    <w:rsid w:val="004A15F7"/>
    <w:rsid w:val="004A1904"/>
    <w:rsid w:val="004A1A81"/>
    <w:rsid w:val="004A1CD0"/>
    <w:rsid w:val="004A1E5A"/>
    <w:rsid w:val="004A27E0"/>
    <w:rsid w:val="004A2AA3"/>
    <w:rsid w:val="004A2D71"/>
    <w:rsid w:val="004A3CC3"/>
    <w:rsid w:val="004A4DC8"/>
    <w:rsid w:val="004A567E"/>
    <w:rsid w:val="004A59CB"/>
    <w:rsid w:val="004A5BAC"/>
    <w:rsid w:val="004A63A5"/>
    <w:rsid w:val="004A6656"/>
    <w:rsid w:val="004A74B8"/>
    <w:rsid w:val="004A7873"/>
    <w:rsid w:val="004A79AB"/>
    <w:rsid w:val="004B0834"/>
    <w:rsid w:val="004B151C"/>
    <w:rsid w:val="004B181D"/>
    <w:rsid w:val="004B1DCD"/>
    <w:rsid w:val="004B1F71"/>
    <w:rsid w:val="004B2F3B"/>
    <w:rsid w:val="004B41C2"/>
    <w:rsid w:val="004B44CA"/>
    <w:rsid w:val="004B58C5"/>
    <w:rsid w:val="004B5C9F"/>
    <w:rsid w:val="004B5F9C"/>
    <w:rsid w:val="004B6A77"/>
    <w:rsid w:val="004B6F6E"/>
    <w:rsid w:val="004C04AF"/>
    <w:rsid w:val="004C0E86"/>
    <w:rsid w:val="004C0FFF"/>
    <w:rsid w:val="004C1017"/>
    <w:rsid w:val="004C18F7"/>
    <w:rsid w:val="004C1997"/>
    <w:rsid w:val="004C1A10"/>
    <w:rsid w:val="004C1CD0"/>
    <w:rsid w:val="004C28A6"/>
    <w:rsid w:val="004C3233"/>
    <w:rsid w:val="004C3616"/>
    <w:rsid w:val="004C365B"/>
    <w:rsid w:val="004C3A47"/>
    <w:rsid w:val="004C3FC8"/>
    <w:rsid w:val="004C4947"/>
    <w:rsid w:val="004C4987"/>
    <w:rsid w:val="004C5040"/>
    <w:rsid w:val="004C5157"/>
    <w:rsid w:val="004C51DC"/>
    <w:rsid w:val="004C5DF9"/>
    <w:rsid w:val="004C5E03"/>
    <w:rsid w:val="004C6FE0"/>
    <w:rsid w:val="004D0A9D"/>
    <w:rsid w:val="004D156B"/>
    <w:rsid w:val="004D1C47"/>
    <w:rsid w:val="004D1E87"/>
    <w:rsid w:val="004D20D0"/>
    <w:rsid w:val="004D2156"/>
    <w:rsid w:val="004D24AB"/>
    <w:rsid w:val="004D25FD"/>
    <w:rsid w:val="004D2D3E"/>
    <w:rsid w:val="004D2ED5"/>
    <w:rsid w:val="004D41E4"/>
    <w:rsid w:val="004D499F"/>
    <w:rsid w:val="004D5AF1"/>
    <w:rsid w:val="004D5B80"/>
    <w:rsid w:val="004D5CC0"/>
    <w:rsid w:val="004D5D85"/>
    <w:rsid w:val="004D66C3"/>
    <w:rsid w:val="004D67CD"/>
    <w:rsid w:val="004D6DB0"/>
    <w:rsid w:val="004E013D"/>
    <w:rsid w:val="004E026C"/>
    <w:rsid w:val="004E02C0"/>
    <w:rsid w:val="004E124D"/>
    <w:rsid w:val="004E1640"/>
    <w:rsid w:val="004E1D6D"/>
    <w:rsid w:val="004E23B1"/>
    <w:rsid w:val="004E2732"/>
    <w:rsid w:val="004E29AF"/>
    <w:rsid w:val="004E3089"/>
    <w:rsid w:val="004E3127"/>
    <w:rsid w:val="004E364D"/>
    <w:rsid w:val="004E36BD"/>
    <w:rsid w:val="004E41BE"/>
    <w:rsid w:val="004E42F7"/>
    <w:rsid w:val="004E4FDA"/>
    <w:rsid w:val="004E57B7"/>
    <w:rsid w:val="004E5B9B"/>
    <w:rsid w:val="004E5BF4"/>
    <w:rsid w:val="004E5E0B"/>
    <w:rsid w:val="004E6851"/>
    <w:rsid w:val="004E7117"/>
    <w:rsid w:val="004E7320"/>
    <w:rsid w:val="004E76F3"/>
    <w:rsid w:val="004E7811"/>
    <w:rsid w:val="004E7A24"/>
    <w:rsid w:val="004F0A2D"/>
    <w:rsid w:val="004F14DB"/>
    <w:rsid w:val="004F15E1"/>
    <w:rsid w:val="004F2603"/>
    <w:rsid w:val="004F27F8"/>
    <w:rsid w:val="004F2C6C"/>
    <w:rsid w:val="004F4AF1"/>
    <w:rsid w:val="004F4EF2"/>
    <w:rsid w:val="004F4F70"/>
    <w:rsid w:val="004F5942"/>
    <w:rsid w:val="004F5D8D"/>
    <w:rsid w:val="004F6411"/>
    <w:rsid w:val="004F6447"/>
    <w:rsid w:val="004F681F"/>
    <w:rsid w:val="005009AA"/>
    <w:rsid w:val="0050140A"/>
    <w:rsid w:val="00501539"/>
    <w:rsid w:val="00501795"/>
    <w:rsid w:val="00501B54"/>
    <w:rsid w:val="00502C42"/>
    <w:rsid w:val="005034B9"/>
    <w:rsid w:val="0050358D"/>
    <w:rsid w:val="00503A50"/>
    <w:rsid w:val="00503F80"/>
    <w:rsid w:val="00504339"/>
    <w:rsid w:val="0050474A"/>
    <w:rsid w:val="005052C0"/>
    <w:rsid w:val="005067A4"/>
    <w:rsid w:val="00506D5E"/>
    <w:rsid w:val="005071D7"/>
    <w:rsid w:val="0050771E"/>
    <w:rsid w:val="0050794B"/>
    <w:rsid w:val="00507EA0"/>
    <w:rsid w:val="0051086A"/>
    <w:rsid w:val="00510DC8"/>
    <w:rsid w:val="0051107C"/>
    <w:rsid w:val="0051137E"/>
    <w:rsid w:val="005119D8"/>
    <w:rsid w:val="00511ECA"/>
    <w:rsid w:val="00512425"/>
    <w:rsid w:val="00512924"/>
    <w:rsid w:val="00512E1D"/>
    <w:rsid w:val="0051314E"/>
    <w:rsid w:val="005139FC"/>
    <w:rsid w:val="0051422F"/>
    <w:rsid w:val="00514FCB"/>
    <w:rsid w:val="005159BD"/>
    <w:rsid w:val="00516D6C"/>
    <w:rsid w:val="00516F4E"/>
    <w:rsid w:val="005174F4"/>
    <w:rsid w:val="00517686"/>
    <w:rsid w:val="005177F0"/>
    <w:rsid w:val="00520017"/>
    <w:rsid w:val="00520339"/>
    <w:rsid w:val="00520467"/>
    <w:rsid w:val="00520806"/>
    <w:rsid w:val="00520B0C"/>
    <w:rsid w:val="00520ECF"/>
    <w:rsid w:val="00521E8D"/>
    <w:rsid w:val="00521F6B"/>
    <w:rsid w:val="00522462"/>
    <w:rsid w:val="005228C5"/>
    <w:rsid w:val="00523B5B"/>
    <w:rsid w:val="005240C6"/>
    <w:rsid w:val="0052417A"/>
    <w:rsid w:val="00524675"/>
    <w:rsid w:val="00524677"/>
    <w:rsid w:val="00524827"/>
    <w:rsid w:val="00524E2A"/>
    <w:rsid w:val="005252D4"/>
    <w:rsid w:val="00525527"/>
    <w:rsid w:val="00525B11"/>
    <w:rsid w:val="005266CF"/>
    <w:rsid w:val="00526A77"/>
    <w:rsid w:val="00526C11"/>
    <w:rsid w:val="00526D02"/>
    <w:rsid w:val="00527F2F"/>
    <w:rsid w:val="005304BD"/>
    <w:rsid w:val="0053077B"/>
    <w:rsid w:val="00531402"/>
    <w:rsid w:val="00531481"/>
    <w:rsid w:val="00531C1C"/>
    <w:rsid w:val="005320F0"/>
    <w:rsid w:val="00532559"/>
    <w:rsid w:val="00532D0C"/>
    <w:rsid w:val="00532DE2"/>
    <w:rsid w:val="00532EB9"/>
    <w:rsid w:val="00532FA3"/>
    <w:rsid w:val="005331D0"/>
    <w:rsid w:val="00533E5E"/>
    <w:rsid w:val="005340D1"/>
    <w:rsid w:val="0053420F"/>
    <w:rsid w:val="00534BE0"/>
    <w:rsid w:val="00534F11"/>
    <w:rsid w:val="00535126"/>
    <w:rsid w:val="00535572"/>
    <w:rsid w:val="005356AE"/>
    <w:rsid w:val="00535A51"/>
    <w:rsid w:val="00535ECF"/>
    <w:rsid w:val="00536279"/>
    <w:rsid w:val="005372FD"/>
    <w:rsid w:val="005375EE"/>
    <w:rsid w:val="00537BE6"/>
    <w:rsid w:val="00537E05"/>
    <w:rsid w:val="0054040F"/>
    <w:rsid w:val="00541D82"/>
    <w:rsid w:val="00541E5A"/>
    <w:rsid w:val="0054200D"/>
    <w:rsid w:val="00542228"/>
    <w:rsid w:val="0054229A"/>
    <w:rsid w:val="00542BDC"/>
    <w:rsid w:val="00542C1B"/>
    <w:rsid w:val="00542E92"/>
    <w:rsid w:val="00542F1F"/>
    <w:rsid w:val="005439BC"/>
    <w:rsid w:val="005439FB"/>
    <w:rsid w:val="00544154"/>
    <w:rsid w:val="005442DC"/>
    <w:rsid w:val="00544BC3"/>
    <w:rsid w:val="00544EE5"/>
    <w:rsid w:val="005450B1"/>
    <w:rsid w:val="005458B0"/>
    <w:rsid w:val="005462A9"/>
    <w:rsid w:val="00546907"/>
    <w:rsid w:val="005478CF"/>
    <w:rsid w:val="00547AA1"/>
    <w:rsid w:val="00550384"/>
    <w:rsid w:val="00550C50"/>
    <w:rsid w:val="005513BA"/>
    <w:rsid w:val="005517EC"/>
    <w:rsid w:val="00551BD4"/>
    <w:rsid w:val="00551C63"/>
    <w:rsid w:val="00552130"/>
    <w:rsid w:val="005536E6"/>
    <w:rsid w:val="00554554"/>
    <w:rsid w:val="00554F64"/>
    <w:rsid w:val="00555C12"/>
    <w:rsid w:val="00555C8C"/>
    <w:rsid w:val="00556356"/>
    <w:rsid w:val="00556B50"/>
    <w:rsid w:val="00556C7D"/>
    <w:rsid w:val="00556EBD"/>
    <w:rsid w:val="0055701C"/>
    <w:rsid w:val="0056008E"/>
    <w:rsid w:val="00560270"/>
    <w:rsid w:val="0056057A"/>
    <w:rsid w:val="00560A6C"/>
    <w:rsid w:val="00560C18"/>
    <w:rsid w:val="00560F66"/>
    <w:rsid w:val="005618ED"/>
    <w:rsid w:val="00561C99"/>
    <w:rsid w:val="005623AD"/>
    <w:rsid w:val="005624A8"/>
    <w:rsid w:val="00563015"/>
    <w:rsid w:val="00563180"/>
    <w:rsid w:val="00563570"/>
    <w:rsid w:val="00563C35"/>
    <w:rsid w:val="00563D23"/>
    <w:rsid w:val="00563D39"/>
    <w:rsid w:val="00563FDA"/>
    <w:rsid w:val="00564000"/>
    <w:rsid w:val="005640FB"/>
    <w:rsid w:val="00564494"/>
    <w:rsid w:val="005644D2"/>
    <w:rsid w:val="005647BA"/>
    <w:rsid w:val="00565170"/>
    <w:rsid w:val="005657FC"/>
    <w:rsid w:val="00565BA7"/>
    <w:rsid w:val="00565DB1"/>
    <w:rsid w:val="005660B2"/>
    <w:rsid w:val="00566406"/>
    <w:rsid w:val="005667A6"/>
    <w:rsid w:val="005674FB"/>
    <w:rsid w:val="0057032B"/>
    <w:rsid w:val="0057084F"/>
    <w:rsid w:val="0057119E"/>
    <w:rsid w:val="005711D9"/>
    <w:rsid w:val="00572079"/>
    <w:rsid w:val="005720FD"/>
    <w:rsid w:val="00572A40"/>
    <w:rsid w:val="00572DDE"/>
    <w:rsid w:val="00574740"/>
    <w:rsid w:val="005748EC"/>
    <w:rsid w:val="005750C4"/>
    <w:rsid w:val="00575754"/>
    <w:rsid w:val="00575BF2"/>
    <w:rsid w:val="00575DF6"/>
    <w:rsid w:val="0057616A"/>
    <w:rsid w:val="0057698D"/>
    <w:rsid w:val="00576B2B"/>
    <w:rsid w:val="00576DB9"/>
    <w:rsid w:val="00577765"/>
    <w:rsid w:val="00577AB5"/>
    <w:rsid w:val="00580538"/>
    <w:rsid w:val="005812A5"/>
    <w:rsid w:val="00581BBE"/>
    <w:rsid w:val="00581C00"/>
    <w:rsid w:val="00582692"/>
    <w:rsid w:val="00582CE0"/>
    <w:rsid w:val="00582F32"/>
    <w:rsid w:val="0058348A"/>
    <w:rsid w:val="00583A00"/>
    <w:rsid w:val="00584904"/>
    <w:rsid w:val="00584912"/>
    <w:rsid w:val="0058517C"/>
    <w:rsid w:val="00585A81"/>
    <w:rsid w:val="00585B2C"/>
    <w:rsid w:val="00585B5E"/>
    <w:rsid w:val="00585E24"/>
    <w:rsid w:val="005868D5"/>
    <w:rsid w:val="0058732A"/>
    <w:rsid w:val="00587AE6"/>
    <w:rsid w:val="00587D75"/>
    <w:rsid w:val="0059076A"/>
    <w:rsid w:val="005912ED"/>
    <w:rsid w:val="00591BFF"/>
    <w:rsid w:val="00591E21"/>
    <w:rsid w:val="00592C35"/>
    <w:rsid w:val="00592DA8"/>
    <w:rsid w:val="00593045"/>
    <w:rsid w:val="00593853"/>
    <w:rsid w:val="00593A7A"/>
    <w:rsid w:val="00593D5A"/>
    <w:rsid w:val="00593F76"/>
    <w:rsid w:val="0059432E"/>
    <w:rsid w:val="00594F04"/>
    <w:rsid w:val="00595573"/>
    <w:rsid w:val="00595DDD"/>
    <w:rsid w:val="005962E2"/>
    <w:rsid w:val="005964BA"/>
    <w:rsid w:val="00596B5A"/>
    <w:rsid w:val="005970E6"/>
    <w:rsid w:val="005974C5"/>
    <w:rsid w:val="005977C0"/>
    <w:rsid w:val="00597984"/>
    <w:rsid w:val="005A02FE"/>
    <w:rsid w:val="005A0773"/>
    <w:rsid w:val="005A0811"/>
    <w:rsid w:val="005A0924"/>
    <w:rsid w:val="005A27C1"/>
    <w:rsid w:val="005A2A84"/>
    <w:rsid w:val="005A2A90"/>
    <w:rsid w:val="005A2CA0"/>
    <w:rsid w:val="005A48D8"/>
    <w:rsid w:val="005A4D0C"/>
    <w:rsid w:val="005A4F81"/>
    <w:rsid w:val="005A5000"/>
    <w:rsid w:val="005A50B4"/>
    <w:rsid w:val="005A66C8"/>
    <w:rsid w:val="005A6DF7"/>
    <w:rsid w:val="005A717C"/>
    <w:rsid w:val="005A73DA"/>
    <w:rsid w:val="005A748A"/>
    <w:rsid w:val="005A79D1"/>
    <w:rsid w:val="005A7D4A"/>
    <w:rsid w:val="005B078F"/>
    <w:rsid w:val="005B0839"/>
    <w:rsid w:val="005B12BF"/>
    <w:rsid w:val="005B1B6B"/>
    <w:rsid w:val="005B1F75"/>
    <w:rsid w:val="005B321F"/>
    <w:rsid w:val="005B391A"/>
    <w:rsid w:val="005B3FC8"/>
    <w:rsid w:val="005B43B6"/>
    <w:rsid w:val="005B4824"/>
    <w:rsid w:val="005B4D41"/>
    <w:rsid w:val="005B4DE9"/>
    <w:rsid w:val="005B50A9"/>
    <w:rsid w:val="005B56EE"/>
    <w:rsid w:val="005B5CCC"/>
    <w:rsid w:val="005C0053"/>
    <w:rsid w:val="005C0791"/>
    <w:rsid w:val="005C216E"/>
    <w:rsid w:val="005C2326"/>
    <w:rsid w:val="005C2902"/>
    <w:rsid w:val="005C3141"/>
    <w:rsid w:val="005C3544"/>
    <w:rsid w:val="005C369D"/>
    <w:rsid w:val="005C36AD"/>
    <w:rsid w:val="005C3C52"/>
    <w:rsid w:val="005C3FC6"/>
    <w:rsid w:val="005C4A5A"/>
    <w:rsid w:val="005C5C8C"/>
    <w:rsid w:val="005C6086"/>
    <w:rsid w:val="005C629E"/>
    <w:rsid w:val="005C6C81"/>
    <w:rsid w:val="005C6D85"/>
    <w:rsid w:val="005C704B"/>
    <w:rsid w:val="005C782B"/>
    <w:rsid w:val="005D1822"/>
    <w:rsid w:val="005D2337"/>
    <w:rsid w:val="005D3132"/>
    <w:rsid w:val="005D36DA"/>
    <w:rsid w:val="005D36E0"/>
    <w:rsid w:val="005D399F"/>
    <w:rsid w:val="005D4283"/>
    <w:rsid w:val="005D4506"/>
    <w:rsid w:val="005D5A94"/>
    <w:rsid w:val="005D613F"/>
    <w:rsid w:val="005D6237"/>
    <w:rsid w:val="005D694F"/>
    <w:rsid w:val="005D7362"/>
    <w:rsid w:val="005D7849"/>
    <w:rsid w:val="005E0053"/>
    <w:rsid w:val="005E086F"/>
    <w:rsid w:val="005E0D62"/>
    <w:rsid w:val="005E16FE"/>
    <w:rsid w:val="005E1DC3"/>
    <w:rsid w:val="005E3032"/>
    <w:rsid w:val="005E3E62"/>
    <w:rsid w:val="005E41F8"/>
    <w:rsid w:val="005E4535"/>
    <w:rsid w:val="005E496E"/>
    <w:rsid w:val="005E5462"/>
    <w:rsid w:val="005E556D"/>
    <w:rsid w:val="005E5D7B"/>
    <w:rsid w:val="005E5DB5"/>
    <w:rsid w:val="005E69D3"/>
    <w:rsid w:val="005E6DFA"/>
    <w:rsid w:val="005E6F7E"/>
    <w:rsid w:val="005E74FC"/>
    <w:rsid w:val="005E7590"/>
    <w:rsid w:val="005E79F8"/>
    <w:rsid w:val="005F06C0"/>
    <w:rsid w:val="005F07D8"/>
    <w:rsid w:val="005F1823"/>
    <w:rsid w:val="005F1D1C"/>
    <w:rsid w:val="005F1DE7"/>
    <w:rsid w:val="005F3106"/>
    <w:rsid w:val="005F3697"/>
    <w:rsid w:val="005F3ABC"/>
    <w:rsid w:val="005F3E91"/>
    <w:rsid w:val="005F4A01"/>
    <w:rsid w:val="005F4D0A"/>
    <w:rsid w:val="005F5C19"/>
    <w:rsid w:val="005F5D64"/>
    <w:rsid w:val="005F6037"/>
    <w:rsid w:val="005F78B3"/>
    <w:rsid w:val="005F7C42"/>
    <w:rsid w:val="005F7EFF"/>
    <w:rsid w:val="006005AB"/>
    <w:rsid w:val="00600A95"/>
    <w:rsid w:val="00600C6A"/>
    <w:rsid w:val="006014AE"/>
    <w:rsid w:val="00601936"/>
    <w:rsid w:val="00601941"/>
    <w:rsid w:val="006023C6"/>
    <w:rsid w:val="00603C0E"/>
    <w:rsid w:val="00604256"/>
    <w:rsid w:val="00606BBA"/>
    <w:rsid w:val="00607252"/>
    <w:rsid w:val="00607391"/>
    <w:rsid w:val="006076BD"/>
    <w:rsid w:val="006076FF"/>
    <w:rsid w:val="00607868"/>
    <w:rsid w:val="006104CD"/>
    <w:rsid w:val="0061066B"/>
    <w:rsid w:val="00610A5A"/>
    <w:rsid w:val="00610C16"/>
    <w:rsid w:val="00611A20"/>
    <w:rsid w:val="00611A40"/>
    <w:rsid w:val="00611EF7"/>
    <w:rsid w:val="00612744"/>
    <w:rsid w:val="00612783"/>
    <w:rsid w:val="00612943"/>
    <w:rsid w:val="00614BC3"/>
    <w:rsid w:val="00620090"/>
    <w:rsid w:val="00620A1D"/>
    <w:rsid w:val="00620E59"/>
    <w:rsid w:val="006214EF"/>
    <w:rsid w:val="00621DB2"/>
    <w:rsid w:val="00622055"/>
    <w:rsid w:val="00622C59"/>
    <w:rsid w:val="00623800"/>
    <w:rsid w:val="00623FA2"/>
    <w:rsid w:val="0062480A"/>
    <w:rsid w:val="00624DB9"/>
    <w:rsid w:val="00626E28"/>
    <w:rsid w:val="00627D26"/>
    <w:rsid w:val="0063213E"/>
    <w:rsid w:val="006325EA"/>
    <w:rsid w:val="0063363C"/>
    <w:rsid w:val="006336CE"/>
    <w:rsid w:val="00634B56"/>
    <w:rsid w:val="00635098"/>
    <w:rsid w:val="00635C9B"/>
    <w:rsid w:val="00635D99"/>
    <w:rsid w:val="00636120"/>
    <w:rsid w:val="00636381"/>
    <w:rsid w:val="006364BA"/>
    <w:rsid w:val="00636D3B"/>
    <w:rsid w:val="00640379"/>
    <w:rsid w:val="00640A94"/>
    <w:rsid w:val="00640B4D"/>
    <w:rsid w:val="006416DC"/>
    <w:rsid w:val="00641ADE"/>
    <w:rsid w:val="00641D4B"/>
    <w:rsid w:val="00642BE7"/>
    <w:rsid w:val="00642C9E"/>
    <w:rsid w:val="00642F11"/>
    <w:rsid w:val="00642F97"/>
    <w:rsid w:val="006437E8"/>
    <w:rsid w:val="00643820"/>
    <w:rsid w:val="00643B59"/>
    <w:rsid w:val="00644511"/>
    <w:rsid w:val="00644AF9"/>
    <w:rsid w:val="00644CC7"/>
    <w:rsid w:val="00644D88"/>
    <w:rsid w:val="00645640"/>
    <w:rsid w:val="00645869"/>
    <w:rsid w:val="006473F4"/>
    <w:rsid w:val="00647BAE"/>
    <w:rsid w:val="00650457"/>
    <w:rsid w:val="006510A5"/>
    <w:rsid w:val="006510C7"/>
    <w:rsid w:val="00651693"/>
    <w:rsid w:val="00651DF4"/>
    <w:rsid w:val="0065259D"/>
    <w:rsid w:val="00652CA4"/>
    <w:rsid w:val="00652DFB"/>
    <w:rsid w:val="00653563"/>
    <w:rsid w:val="00653D96"/>
    <w:rsid w:val="00654F42"/>
    <w:rsid w:val="00654FA7"/>
    <w:rsid w:val="00655552"/>
    <w:rsid w:val="00655B91"/>
    <w:rsid w:val="0065608A"/>
    <w:rsid w:val="00656C0A"/>
    <w:rsid w:val="00657BEA"/>
    <w:rsid w:val="00657EAA"/>
    <w:rsid w:val="006600C6"/>
    <w:rsid w:val="006604DF"/>
    <w:rsid w:val="00660BB6"/>
    <w:rsid w:val="006616CD"/>
    <w:rsid w:val="0066201E"/>
    <w:rsid w:val="00662100"/>
    <w:rsid w:val="00662463"/>
    <w:rsid w:val="0066292C"/>
    <w:rsid w:val="00662D5A"/>
    <w:rsid w:val="00663208"/>
    <w:rsid w:val="006637F5"/>
    <w:rsid w:val="006644DE"/>
    <w:rsid w:val="00664ABC"/>
    <w:rsid w:val="006652B5"/>
    <w:rsid w:val="00665316"/>
    <w:rsid w:val="00665934"/>
    <w:rsid w:val="006662C1"/>
    <w:rsid w:val="006668FA"/>
    <w:rsid w:val="00666CEA"/>
    <w:rsid w:val="006675B7"/>
    <w:rsid w:val="00670A09"/>
    <w:rsid w:val="00671865"/>
    <w:rsid w:val="00671A6E"/>
    <w:rsid w:val="00671CA6"/>
    <w:rsid w:val="00672C8F"/>
    <w:rsid w:val="0067353B"/>
    <w:rsid w:val="006746B4"/>
    <w:rsid w:val="0067561C"/>
    <w:rsid w:val="006756F7"/>
    <w:rsid w:val="00676358"/>
    <w:rsid w:val="006766B4"/>
    <w:rsid w:val="006766D4"/>
    <w:rsid w:val="006766DB"/>
    <w:rsid w:val="00676E1D"/>
    <w:rsid w:val="00677364"/>
    <w:rsid w:val="00677510"/>
    <w:rsid w:val="0067762B"/>
    <w:rsid w:val="00680DBD"/>
    <w:rsid w:val="00680E97"/>
    <w:rsid w:val="0068155A"/>
    <w:rsid w:val="00681633"/>
    <w:rsid w:val="00682239"/>
    <w:rsid w:val="00682C7E"/>
    <w:rsid w:val="00684008"/>
    <w:rsid w:val="006846BA"/>
    <w:rsid w:val="006846F5"/>
    <w:rsid w:val="00684A17"/>
    <w:rsid w:val="00684B86"/>
    <w:rsid w:val="00684D6A"/>
    <w:rsid w:val="00685E4A"/>
    <w:rsid w:val="00685F0F"/>
    <w:rsid w:val="00686A95"/>
    <w:rsid w:val="00686D8B"/>
    <w:rsid w:val="00687A22"/>
    <w:rsid w:val="00687C09"/>
    <w:rsid w:val="00687F02"/>
    <w:rsid w:val="006904CF"/>
    <w:rsid w:val="0069090F"/>
    <w:rsid w:val="00690F56"/>
    <w:rsid w:val="0069100F"/>
    <w:rsid w:val="00691DA8"/>
    <w:rsid w:val="00692304"/>
    <w:rsid w:val="00692395"/>
    <w:rsid w:val="0069345D"/>
    <w:rsid w:val="00694422"/>
    <w:rsid w:val="0069448E"/>
    <w:rsid w:val="0069464F"/>
    <w:rsid w:val="006946F9"/>
    <w:rsid w:val="00694F73"/>
    <w:rsid w:val="0069577D"/>
    <w:rsid w:val="00695C5E"/>
    <w:rsid w:val="00697FB0"/>
    <w:rsid w:val="006A0A16"/>
    <w:rsid w:val="006A0F51"/>
    <w:rsid w:val="006A127E"/>
    <w:rsid w:val="006A22D9"/>
    <w:rsid w:val="006A2806"/>
    <w:rsid w:val="006A3A7E"/>
    <w:rsid w:val="006A418D"/>
    <w:rsid w:val="006A5C58"/>
    <w:rsid w:val="006A5CE6"/>
    <w:rsid w:val="006A68EB"/>
    <w:rsid w:val="006A7480"/>
    <w:rsid w:val="006B06DC"/>
    <w:rsid w:val="006B0F68"/>
    <w:rsid w:val="006B10C9"/>
    <w:rsid w:val="006B1795"/>
    <w:rsid w:val="006B1867"/>
    <w:rsid w:val="006B1D10"/>
    <w:rsid w:val="006B2307"/>
    <w:rsid w:val="006B2BB3"/>
    <w:rsid w:val="006B2E2E"/>
    <w:rsid w:val="006B3D9B"/>
    <w:rsid w:val="006B4023"/>
    <w:rsid w:val="006B4B49"/>
    <w:rsid w:val="006B515F"/>
    <w:rsid w:val="006B584D"/>
    <w:rsid w:val="006B5E0E"/>
    <w:rsid w:val="006B613D"/>
    <w:rsid w:val="006B6FB2"/>
    <w:rsid w:val="006B7C72"/>
    <w:rsid w:val="006B7ED3"/>
    <w:rsid w:val="006C0A84"/>
    <w:rsid w:val="006C1275"/>
    <w:rsid w:val="006C236D"/>
    <w:rsid w:val="006C2632"/>
    <w:rsid w:val="006C2847"/>
    <w:rsid w:val="006C297C"/>
    <w:rsid w:val="006C4185"/>
    <w:rsid w:val="006C4239"/>
    <w:rsid w:val="006C49F0"/>
    <w:rsid w:val="006C514D"/>
    <w:rsid w:val="006C52CA"/>
    <w:rsid w:val="006C55FB"/>
    <w:rsid w:val="006C56F1"/>
    <w:rsid w:val="006C5A1B"/>
    <w:rsid w:val="006C5E52"/>
    <w:rsid w:val="006D021D"/>
    <w:rsid w:val="006D11E3"/>
    <w:rsid w:val="006D161D"/>
    <w:rsid w:val="006D1E02"/>
    <w:rsid w:val="006D2A14"/>
    <w:rsid w:val="006D2C49"/>
    <w:rsid w:val="006D3CEC"/>
    <w:rsid w:val="006D4DDE"/>
    <w:rsid w:val="006D670E"/>
    <w:rsid w:val="006D74EB"/>
    <w:rsid w:val="006D7AB3"/>
    <w:rsid w:val="006D7C35"/>
    <w:rsid w:val="006E0866"/>
    <w:rsid w:val="006E0A6F"/>
    <w:rsid w:val="006E102E"/>
    <w:rsid w:val="006E12E2"/>
    <w:rsid w:val="006E1D41"/>
    <w:rsid w:val="006E215B"/>
    <w:rsid w:val="006E3AEA"/>
    <w:rsid w:val="006E472E"/>
    <w:rsid w:val="006E4CBD"/>
    <w:rsid w:val="006E4FFF"/>
    <w:rsid w:val="006E5116"/>
    <w:rsid w:val="006E59A5"/>
    <w:rsid w:val="006E5CC3"/>
    <w:rsid w:val="006E67C8"/>
    <w:rsid w:val="006E6BB7"/>
    <w:rsid w:val="006E724D"/>
    <w:rsid w:val="006F03C7"/>
    <w:rsid w:val="006F31DF"/>
    <w:rsid w:val="006F343C"/>
    <w:rsid w:val="006F39B6"/>
    <w:rsid w:val="006F4F17"/>
    <w:rsid w:val="006F5011"/>
    <w:rsid w:val="006F5A86"/>
    <w:rsid w:val="006F5C8C"/>
    <w:rsid w:val="006F5F98"/>
    <w:rsid w:val="006F618F"/>
    <w:rsid w:val="006F69F9"/>
    <w:rsid w:val="006F727F"/>
    <w:rsid w:val="006F7B98"/>
    <w:rsid w:val="007003DA"/>
    <w:rsid w:val="007003DB"/>
    <w:rsid w:val="007003ED"/>
    <w:rsid w:val="00700C38"/>
    <w:rsid w:val="007012A3"/>
    <w:rsid w:val="007016F2"/>
    <w:rsid w:val="007017E4"/>
    <w:rsid w:val="00701C73"/>
    <w:rsid w:val="00701E53"/>
    <w:rsid w:val="00702116"/>
    <w:rsid w:val="00702DA3"/>
    <w:rsid w:val="00702F4E"/>
    <w:rsid w:val="007035A0"/>
    <w:rsid w:val="00703D85"/>
    <w:rsid w:val="0070422F"/>
    <w:rsid w:val="007045AC"/>
    <w:rsid w:val="00704630"/>
    <w:rsid w:val="00704E89"/>
    <w:rsid w:val="00705C9A"/>
    <w:rsid w:val="00706330"/>
    <w:rsid w:val="007064C8"/>
    <w:rsid w:val="00706A0B"/>
    <w:rsid w:val="00707260"/>
    <w:rsid w:val="00707FDA"/>
    <w:rsid w:val="0071011F"/>
    <w:rsid w:val="007101C9"/>
    <w:rsid w:val="007108A3"/>
    <w:rsid w:val="00712757"/>
    <w:rsid w:val="00714EAE"/>
    <w:rsid w:val="0071526D"/>
    <w:rsid w:val="00715B47"/>
    <w:rsid w:val="007163AE"/>
    <w:rsid w:val="00716E8A"/>
    <w:rsid w:val="007170C9"/>
    <w:rsid w:val="00717229"/>
    <w:rsid w:val="007177A3"/>
    <w:rsid w:val="007208F4"/>
    <w:rsid w:val="00720BF5"/>
    <w:rsid w:val="00721B34"/>
    <w:rsid w:val="00721D25"/>
    <w:rsid w:val="00722648"/>
    <w:rsid w:val="00723642"/>
    <w:rsid w:val="00723739"/>
    <w:rsid w:val="00723E0F"/>
    <w:rsid w:val="00723FA7"/>
    <w:rsid w:val="00724818"/>
    <w:rsid w:val="007250C5"/>
    <w:rsid w:val="00725BA6"/>
    <w:rsid w:val="00725BE1"/>
    <w:rsid w:val="007260D7"/>
    <w:rsid w:val="0072647E"/>
    <w:rsid w:val="0072667E"/>
    <w:rsid w:val="00726A4D"/>
    <w:rsid w:val="007272F8"/>
    <w:rsid w:val="00727823"/>
    <w:rsid w:val="00727A1C"/>
    <w:rsid w:val="00727B4A"/>
    <w:rsid w:val="00730047"/>
    <w:rsid w:val="0073013E"/>
    <w:rsid w:val="0073040E"/>
    <w:rsid w:val="0073062B"/>
    <w:rsid w:val="00730FEE"/>
    <w:rsid w:val="00731E49"/>
    <w:rsid w:val="00732160"/>
    <w:rsid w:val="00732589"/>
    <w:rsid w:val="007325AA"/>
    <w:rsid w:val="00732A57"/>
    <w:rsid w:val="007330F0"/>
    <w:rsid w:val="007349D4"/>
    <w:rsid w:val="00734C3F"/>
    <w:rsid w:val="00734E83"/>
    <w:rsid w:val="00735DEE"/>
    <w:rsid w:val="00735E9C"/>
    <w:rsid w:val="0073672C"/>
    <w:rsid w:val="00736794"/>
    <w:rsid w:val="00736E9A"/>
    <w:rsid w:val="0073722F"/>
    <w:rsid w:val="007401E3"/>
    <w:rsid w:val="007402C9"/>
    <w:rsid w:val="007403C1"/>
    <w:rsid w:val="00740CC0"/>
    <w:rsid w:val="007412AD"/>
    <w:rsid w:val="0074214F"/>
    <w:rsid w:val="00742853"/>
    <w:rsid w:val="00742D4A"/>
    <w:rsid w:val="0074322E"/>
    <w:rsid w:val="0074486B"/>
    <w:rsid w:val="007448FA"/>
    <w:rsid w:val="00745206"/>
    <w:rsid w:val="00745346"/>
    <w:rsid w:val="00745626"/>
    <w:rsid w:val="0074627C"/>
    <w:rsid w:val="00746D24"/>
    <w:rsid w:val="0074722F"/>
    <w:rsid w:val="0074796C"/>
    <w:rsid w:val="007506A4"/>
    <w:rsid w:val="00750CCC"/>
    <w:rsid w:val="00750D96"/>
    <w:rsid w:val="00751322"/>
    <w:rsid w:val="00751BCD"/>
    <w:rsid w:val="00751F29"/>
    <w:rsid w:val="00752DA6"/>
    <w:rsid w:val="00753104"/>
    <w:rsid w:val="0075340B"/>
    <w:rsid w:val="007537BC"/>
    <w:rsid w:val="007541B6"/>
    <w:rsid w:val="00754258"/>
    <w:rsid w:val="007543DA"/>
    <w:rsid w:val="007548F0"/>
    <w:rsid w:val="007558BE"/>
    <w:rsid w:val="00755ECA"/>
    <w:rsid w:val="00756000"/>
    <w:rsid w:val="00756925"/>
    <w:rsid w:val="0075781C"/>
    <w:rsid w:val="00757938"/>
    <w:rsid w:val="00757D63"/>
    <w:rsid w:val="00760538"/>
    <w:rsid w:val="007608EC"/>
    <w:rsid w:val="00760B25"/>
    <w:rsid w:val="007612B1"/>
    <w:rsid w:val="00762960"/>
    <w:rsid w:val="00763081"/>
    <w:rsid w:val="007639E2"/>
    <w:rsid w:val="00764D6E"/>
    <w:rsid w:val="00764F3C"/>
    <w:rsid w:val="007664A9"/>
    <w:rsid w:val="00766FD5"/>
    <w:rsid w:val="0076707B"/>
    <w:rsid w:val="00767C4A"/>
    <w:rsid w:val="00770759"/>
    <w:rsid w:val="00771086"/>
    <w:rsid w:val="00771D39"/>
    <w:rsid w:val="00772F68"/>
    <w:rsid w:val="0077311C"/>
    <w:rsid w:val="00773336"/>
    <w:rsid w:val="0077353E"/>
    <w:rsid w:val="007738B6"/>
    <w:rsid w:val="0077509A"/>
    <w:rsid w:val="00775AC0"/>
    <w:rsid w:val="00775FD8"/>
    <w:rsid w:val="0077620A"/>
    <w:rsid w:val="00777DA3"/>
    <w:rsid w:val="00780120"/>
    <w:rsid w:val="007801F0"/>
    <w:rsid w:val="00780C28"/>
    <w:rsid w:val="00780D4D"/>
    <w:rsid w:val="00781649"/>
    <w:rsid w:val="00781659"/>
    <w:rsid w:val="0078193B"/>
    <w:rsid w:val="00781EF1"/>
    <w:rsid w:val="00781F94"/>
    <w:rsid w:val="007820A9"/>
    <w:rsid w:val="0078241F"/>
    <w:rsid w:val="00782CC6"/>
    <w:rsid w:val="00782EA3"/>
    <w:rsid w:val="007833E5"/>
    <w:rsid w:val="00783B6F"/>
    <w:rsid w:val="0078406E"/>
    <w:rsid w:val="007858DA"/>
    <w:rsid w:val="00785CCA"/>
    <w:rsid w:val="00786DA0"/>
    <w:rsid w:val="00786F51"/>
    <w:rsid w:val="00790193"/>
    <w:rsid w:val="0079035D"/>
    <w:rsid w:val="00790557"/>
    <w:rsid w:val="007906BC"/>
    <w:rsid w:val="0079104C"/>
    <w:rsid w:val="0079150A"/>
    <w:rsid w:val="007915DC"/>
    <w:rsid w:val="00791996"/>
    <w:rsid w:val="00791C47"/>
    <w:rsid w:val="007922D3"/>
    <w:rsid w:val="007923EE"/>
    <w:rsid w:val="0079308D"/>
    <w:rsid w:val="00793141"/>
    <w:rsid w:val="0079361C"/>
    <w:rsid w:val="007936AF"/>
    <w:rsid w:val="00793A76"/>
    <w:rsid w:val="00793E0D"/>
    <w:rsid w:val="00794060"/>
    <w:rsid w:val="007940CE"/>
    <w:rsid w:val="0079453B"/>
    <w:rsid w:val="00794EBC"/>
    <w:rsid w:val="00795425"/>
    <w:rsid w:val="00795513"/>
    <w:rsid w:val="0079557B"/>
    <w:rsid w:val="007957D5"/>
    <w:rsid w:val="007963BA"/>
    <w:rsid w:val="00796A02"/>
    <w:rsid w:val="007974F9"/>
    <w:rsid w:val="007A0554"/>
    <w:rsid w:val="007A08D6"/>
    <w:rsid w:val="007A0B31"/>
    <w:rsid w:val="007A1095"/>
    <w:rsid w:val="007A185D"/>
    <w:rsid w:val="007A1A1E"/>
    <w:rsid w:val="007A237B"/>
    <w:rsid w:val="007A30F8"/>
    <w:rsid w:val="007A3440"/>
    <w:rsid w:val="007A47B7"/>
    <w:rsid w:val="007A4889"/>
    <w:rsid w:val="007A4E9C"/>
    <w:rsid w:val="007A6744"/>
    <w:rsid w:val="007A703B"/>
    <w:rsid w:val="007A71DC"/>
    <w:rsid w:val="007A739F"/>
    <w:rsid w:val="007A76EC"/>
    <w:rsid w:val="007A7E91"/>
    <w:rsid w:val="007B0871"/>
    <w:rsid w:val="007B2664"/>
    <w:rsid w:val="007B29C9"/>
    <w:rsid w:val="007B2B47"/>
    <w:rsid w:val="007B2E51"/>
    <w:rsid w:val="007B3360"/>
    <w:rsid w:val="007B3518"/>
    <w:rsid w:val="007B3B04"/>
    <w:rsid w:val="007B3DF1"/>
    <w:rsid w:val="007B3F35"/>
    <w:rsid w:val="007B444B"/>
    <w:rsid w:val="007B4608"/>
    <w:rsid w:val="007B4E1D"/>
    <w:rsid w:val="007B5202"/>
    <w:rsid w:val="007B573F"/>
    <w:rsid w:val="007B5839"/>
    <w:rsid w:val="007B5B66"/>
    <w:rsid w:val="007B64CD"/>
    <w:rsid w:val="007B6662"/>
    <w:rsid w:val="007B690F"/>
    <w:rsid w:val="007B7216"/>
    <w:rsid w:val="007B7596"/>
    <w:rsid w:val="007B791B"/>
    <w:rsid w:val="007B7C8E"/>
    <w:rsid w:val="007B7FA3"/>
    <w:rsid w:val="007C0D15"/>
    <w:rsid w:val="007C1462"/>
    <w:rsid w:val="007C1644"/>
    <w:rsid w:val="007C1A0A"/>
    <w:rsid w:val="007C1C7E"/>
    <w:rsid w:val="007C2279"/>
    <w:rsid w:val="007C236D"/>
    <w:rsid w:val="007C2534"/>
    <w:rsid w:val="007C29E4"/>
    <w:rsid w:val="007C2D73"/>
    <w:rsid w:val="007C2E0E"/>
    <w:rsid w:val="007C31E2"/>
    <w:rsid w:val="007C31ED"/>
    <w:rsid w:val="007C3A44"/>
    <w:rsid w:val="007C3B8C"/>
    <w:rsid w:val="007C3C1A"/>
    <w:rsid w:val="007C3D73"/>
    <w:rsid w:val="007C4C6C"/>
    <w:rsid w:val="007C5935"/>
    <w:rsid w:val="007C5E95"/>
    <w:rsid w:val="007C5FFB"/>
    <w:rsid w:val="007C6267"/>
    <w:rsid w:val="007C669D"/>
    <w:rsid w:val="007C6B7B"/>
    <w:rsid w:val="007C6CE7"/>
    <w:rsid w:val="007C71BD"/>
    <w:rsid w:val="007C7BA7"/>
    <w:rsid w:val="007D06FA"/>
    <w:rsid w:val="007D07C5"/>
    <w:rsid w:val="007D0AC3"/>
    <w:rsid w:val="007D0BDE"/>
    <w:rsid w:val="007D0E4D"/>
    <w:rsid w:val="007D15A7"/>
    <w:rsid w:val="007D1843"/>
    <w:rsid w:val="007D1F72"/>
    <w:rsid w:val="007D202A"/>
    <w:rsid w:val="007D212E"/>
    <w:rsid w:val="007D238D"/>
    <w:rsid w:val="007D239D"/>
    <w:rsid w:val="007D245A"/>
    <w:rsid w:val="007D26DF"/>
    <w:rsid w:val="007D2A13"/>
    <w:rsid w:val="007D3460"/>
    <w:rsid w:val="007D37D0"/>
    <w:rsid w:val="007D53D6"/>
    <w:rsid w:val="007D5A98"/>
    <w:rsid w:val="007D5CBB"/>
    <w:rsid w:val="007D6A33"/>
    <w:rsid w:val="007D6F2D"/>
    <w:rsid w:val="007D78DD"/>
    <w:rsid w:val="007D7BA7"/>
    <w:rsid w:val="007E1208"/>
    <w:rsid w:val="007E14E3"/>
    <w:rsid w:val="007E1CDF"/>
    <w:rsid w:val="007E2C84"/>
    <w:rsid w:val="007E2E12"/>
    <w:rsid w:val="007E2E47"/>
    <w:rsid w:val="007E2F20"/>
    <w:rsid w:val="007E32C3"/>
    <w:rsid w:val="007E37EA"/>
    <w:rsid w:val="007E38F8"/>
    <w:rsid w:val="007E4025"/>
    <w:rsid w:val="007E4E08"/>
    <w:rsid w:val="007E4EFC"/>
    <w:rsid w:val="007E5619"/>
    <w:rsid w:val="007E565C"/>
    <w:rsid w:val="007E5A49"/>
    <w:rsid w:val="007E5D81"/>
    <w:rsid w:val="007E61A5"/>
    <w:rsid w:val="007E61FD"/>
    <w:rsid w:val="007E6690"/>
    <w:rsid w:val="007E6C6B"/>
    <w:rsid w:val="007E7499"/>
    <w:rsid w:val="007E7E11"/>
    <w:rsid w:val="007E7EEE"/>
    <w:rsid w:val="007F051F"/>
    <w:rsid w:val="007F0609"/>
    <w:rsid w:val="007F06AE"/>
    <w:rsid w:val="007F1214"/>
    <w:rsid w:val="007F1478"/>
    <w:rsid w:val="007F1726"/>
    <w:rsid w:val="007F1A32"/>
    <w:rsid w:val="007F1F6D"/>
    <w:rsid w:val="007F4360"/>
    <w:rsid w:val="007F49A0"/>
    <w:rsid w:val="007F4CC8"/>
    <w:rsid w:val="007F50B5"/>
    <w:rsid w:val="007F50DF"/>
    <w:rsid w:val="007F5303"/>
    <w:rsid w:val="007F58E4"/>
    <w:rsid w:val="007F704B"/>
    <w:rsid w:val="007F7C55"/>
    <w:rsid w:val="00800286"/>
    <w:rsid w:val="008004B0"/>
    <w:rsid w:val="00800684"/>
    <w:rsid w:val="008007A1"/>
    <w:rsid w:val="00800ED0"/>
    <w:rsid w:val="0080144F"/>
    <w:rsid w:val="00801556"/>
    <w:rsid w:val="008028A8"/>
    <w:rsid w:val="00803414"/>
    <w:rsid w:val="008036EB"/>
    <w:rsid w:val="00803929"/>
    <w:rsid w:val="0080425D"/>
    <w:rsid w:val="00804689"/>
    <w:rsid w:val="00805222"/>
    <w:rsid w:val="00805F32"/>
    <w:rsid w:val="00806AEF"/>
    <w:rsid w:val="00806F07"/>
    <w:rsid w:val="0081022A"/>
    <w:rsid w:val="00810A21"/>
    <w:rsid w:val="0081286E"/>
    <w:rsid w:val="00812B91"/>
    <w:rsid w:val="00812FEF"/>
    <w:rsid w:val="00813453"/>
    <w:rsid w:val="0081357B"/>
    <w:rsid w:val="00813A95"/>
    <w:rsid w:val="008145B4"/>
    <w:rsid w:val="00814964"/>
    <w:rsid w:val="00817B62"/>
    <w:rsid w:val="008212CE"/>
    <w:rsid w:val="008221D1"/>
    <w:rsid w:val="008226A7"/>
    <w:rsid w:val="008227A2"/>
    <w:rsid w:val="0082362C"/>
    <w:rsid w:val="00823CB4"/>
    <w:rsid w:val="008245E1"/>
    <w:rsid w:val="008250AD"/>
    <w:rsid w:val="00826010"/>
    <w:rsid w:val="00826C94"/>
    <w:rsid w:val="00827442"/>
    <w:rsid w:val="0083092A"/>
    <w:rsid w:val="00830FA4"/>
    <w:rsid w:val="00831684"/>
    <w:rsid w:val="00832C59"/>
    <w:rsid w:val="008335DF"/>
    <w:rsid w:val="00834B47"/>
    <w:rsid w:val="00834BB3"/>
    <w:rsid w:val="00834D6B"/>
    <w:rsid w:val="00835773"/>
    <w:rsid w:val="00835D61"/>
    <w:rsid w:val="00836107"/>
    <w:rsid w:val="00836191"/>
    <w:rsid w:val="00836696"/>
    <w:rsid w:val="008366E1"/>
    <w:rsid w:val="00836AC5"/>
    <w:rsid w:val="00836D53"/>
    <w:rsid w:val="00836EB0"/>
    <w:rsid w:val="00837F19"/>
    <w:rsid w:val="00840159"/>
    <w:rsid w:val="00840404"/>
    <w:rsid w:val="0084126D"/>
    <w:rsid w:val="008415D7"/>
    <w:rsid w:val="00841D8A"/>
    <w:rsid w:val="00841EE7"/>
    <w:rsid w:val="00842476"/>
    <w:rsid w:val="00842595"/>
    <w:rsid w:val="00842B66"/>
    <w:rsid w:val="008434DE"/>
    <w:rsid w:val="008438F0"/>
    <w:rsid w:val="00843D34"/>
    <w:rsid w:val="008440A1"/>
    <w:rsid w:val="0084410A"/>
    <w:rsid w:val="00844797"/>
    <w:rsid w:val="00844A9F"/>
    <w:rsid w:val="0084618F"/>
    <w:rsid w:val="008465DA"/>
    <w:rsid w:val="008466B4"/>
    <w:rsid w:val="00846E67"/>
    <w:rsid w:val="00847488"/>
    <w:rsid w:val="00847820"/>
    <w:rsid w:val="008501E4"/>
    <w:rsid w:val="008505CF"/>
    <w:rsid w:val="00850661"/>
    <w:rsid w:val="00850F00"/>
    <w:rsid w:val="00851315"/>
    <w:rsid w:val="00851F95"/>
    <w:rsid w:val="00852CEB"/>
    <w:rsid w:val="00852E4A"/>
    <w:rsid w:val="00852E5E"/>
    <w:rsid w:val="0085356C"/>
    <w:rsid w:val="008542FF"/>
    <w:rsid w:val="00854FB3"/>
    <w:rsid w:val="00855192"/>
    <w:rsid w:val="00855A98"/>
    <w:rsid w:val="00855CB3"/>
    <w:rsid w:val="0085655C"/>
    <w:rsid w:val="0085737D"/>
    <w:rsid w:val="008575FF"/>
    <w:rsid w:val="008604CF"/>
    <w:rsid w:val="00861133"/>
    <w:rsid w:val="0086129E"/>
    <w:rsid w:val="0086156B"/>
    <w:rsid w:val="00862D12"/>
    <w:rsid w:val="00863EC5"/>
    <w:rsid w:val="008649D0"/>
    <w:rsid w:val="008653B9"/>
    <w:rsid w:val="00865A0A"/>
    <w:rsid w:val="00865C6C"/>
    <w:rsid w:val="00865FDC"/>
    <w:rsid w:val="00866F2A"/>
    <w:rsid w:val="00867027"/>
    <w:rsid w:val="0086723F"/>
    <w:rsid w:val="008701BD"/>
    <w:rsid w:val="00870AED"/>
    <w:rsid w:val="00870E86"/>
    <w:rsid w:val="008713B1"/>
    <w:rsid w:val="0087162E"/>
    <w:rsid w:val="00871A88"/>
    <w:rsid w:val="00871E1F"/>
    <w:rsid w:val="00871F09"/>
    <w:rsid w:val="008721E9"/>
    <w:rsid w:val="0087236F"/>
    <w:rsid w:val="008737CC"/>
    <w:rsid w:val="00873A1B"/>
    <w:rsid w:val="00874023"/>
    <w:rsid w:val="00874ABA"/>
    <w:rsid w:val="0087582E"/>
    <w:rsid w:val="00876500"/>
    <w:rsid w:val="008769D6"/>
    <w:rsid w:val="00876BEA"/>
    <w:rsid w:val="00877AB7"/>
    <w:rsid w:val="00877AE0"/>
    <w:rsid w:val="00877FC2"/>
    <w:rsid w:val="00880ACB"/>
    <w:rsid w:val="00880BA5"/>
    <w:rsid w:val="0088137C"/>
    <w:rsid w:val="00881A93"/>
    <w:rsid w:val="00881B97"/>
    <w:rsid w:val="00883539"/>
    <w:rsid w:val="00883579"/>
    <w:rsid w:val="00883871"/>
    <w:rsid w:val="008840CF"/>
    <w:rsid w:val="00884DA2"/>
    <w:rsid w:val="00885BFE"/>
    <w:rsid w:val="0088641D"/>
    <w:rsid w:val="00886D26"/>
    <w:rsid w:val="008870B8"/>
    <w:rsid w:val="00887D5C"/>
    <w:rsid w:val="00890281"/>
    <w:rsid w:val="0089090C"/>
    <w:rsid w:val="00891997"/>
    <w:rsid w:val="00891ED7"/>
    <w:rsid w:val="00891F1E"/>
    <w:rsid w:val="00892114"/>
    <w:rsid w:val="00893284"/>
    <w:rsid w:val="008941E8"/>
    <w:rsid w:val="00894F4D"/>
    <w:rsid w:val="00895434"/>
    <w:rsid w:val="00895F65"/>
    <w:rsid w:val="00896DE2"/>
    <w:rsid w:val="008A1440"/>
    <w:rsid w:val="008A3788"/>
    <w:rsid w:val="008A3F88"/>
    <w:rsid w:val="008A5321"/>
    <w:rsid w:val="008A5945"/>
    <w:rsid w:val="008A61AF"/>
    <w:rsid w:val="008A6265"/>
    <w:rsid w:val="008A649D"/>
    <w:rsid w:val="008A7012"/>
    <w:rsid w:val="008A70B9"/>
    <w:rsid w:val="008A7445"/>
    <w:rsid w:val="008A7860"/>
    <w:rsid w:val="008B0308"/>
    <w:rsid w:val="008B08F1"/>
    <w:rsid w:val="008B0E3E"/>
    <w:rsid w:val="008B21CB"/>
    <w:rsid w:val="008B22AD"/>
    <w:rsid w:val="008B22BF"/>
    <w:rsid w:val="008B3116"/>
    <w:rsid w:val="008B321D"/>
    <w:rsid w:val="008B3D62"/>
    <w:rsid w:val="008B3DF4"/>
    <w:rsid w:val="008B4794"/>
    <w:rsid w:val="008B4C15"/>
    <w:rsid w:val="008B4F9F"/>
    <w:rsid w:val="008B6C00"/>
    <w:rsid w:val="008B74C0"/>
    <w:rsid w:val="008B74D8"/>
    <w:rsid w:val="008B753E"/>
    <w:rsid w:val="008B7D71"/>
    <w:rsid w:val="008B7D8D"/>
    <w:rsid w:val="008C02E1"/>
    <w:rsid w:val="008C0915"/>
    <w:rsid w:val="008C0EE9"/>
    <w:rsid w:val="008C1A49"/>
    <w:rsid w:val="008C2121"/>
    <w:rsid w:val="008C25D0"/>
    <w:rsid w:val="008C2D48"/>
    <w:rsid w:val="008C37C3"/>
    <w:rsid w:val="008C3A76"/>
    <w:rsid w:val="008C49AA"/>
    <w:rsid w:val="008C4D16"/>
    <w:rsid w:val="008C4F6A"/>
    <w:rsid w:val="008C585A"/>
    <w:rsid w:val="008C640E"/>
    <w:rsid w:val="008C64CC"/>
    <w:rsid w:val="008C6B07"/>
    <w:rsid w:val="008C6DA4"/>
    <w:rsid w:val="008C72AB"/>
    <w:rsid w:val="008C75DB"/>
    <w:rsid w:val="008C79B0"/>
    <w:rsid w:val="008D019B"/>
    <w:rsid w:val="008D079D"/>
    <w:rsid w:val="008D08EC"/>
    <w:rsid w:val="008D0B0E"/>
    <w:rsid w:val="008D0B80"/>
    <w:rsid w:val="008D27E8"/>
    <w:rsid w:val="008D32F2"/>
    <w:rsid w:val="008D34E9"/>
    <w:rsid w:val="008D5382"/>
    <w:rsid w:val="008D5688"/>
    <w:rsid w:val="008D6ABC"/>
    <w:rsid w:val="008D73BF"/>
    <w:rsid w:val="008D76B3"/>
    <w:rsid w:val="008D7927"/>
    <w:rsid w:val="008E06DF"/>
    <w:rsid w:val="008E17DE"/>
    <w:rsid w:val="008E1B53"/>
    <w:rsid w:val="008E249C"/>
    <w:rsid w:val="008E2C1E"/>
    <w:rsid w:val="008E3250"/>
    <w:rsid w:val="008E3873"/>
    <w:rsid w:val="008E3C23"/>
    <w:rsid w:val="008E41FE"/>
    <w:rsid w:val="008E4471"/>
    <w:rsid w:val="008E46DF"/>
    <w:rsid w:val="008E4B3B"/>
    <w:rsid w:val="008E50CE"/>
    <w:rsid w:val="008E5A90"/>
    <w:rsid w:val="008E5EAD"/>
    <w:rsid w:val="008E67A3"/>
    <w:rsid w:val="008E6B65"/>
    <w:rsid w:val="008E7A6F"/>
    <w:rsid w:val="008F0A03"/>
    <w:rsid w:val="008F10AA"/>
    <w:rsid w:val="008F139A"/>
    <w:rsid w:val="008F1BCD"/>
    <w:rsid w:val="008F1C2E"/>
    <w:rsid w:val="008F2CEC"/>
    <w:rsid w:val="008F33E0"/>
    <w:rsid w:val="008F36C6"/>
    <w:rsid w:val="008F526C"/>
    <w:rsid w:val="008F71AB"/>
    <w:rsid w:val="00900A7F"/>
    <w:rsid w:val="00901851"/>
    <w:rsid w:val="0090209E"/>
    <w:rsid w:val="00902C23"/>
    <w:rsid w:val="009033F2"/>
    <w:rsid w:val="00903471"/>
    <w:rsid w:val="009034EC"/>
    <w:rsid w:val="00903B77"/>
    <w:rsid w:val="0090510A"/>
    <w:rsid w:val="0090581E"/>
    <w:rsid w:val="00905A37"/>
    <w:rsid w:val="00905E7A"/>
    <w:rsid w:val="00906513"/>
    <w:rsid w:val="009069DE"/>
    <w:rsid w:val="00907096"/>
    <w:rsid w:val="00910DFA"/>
    <w:rsid w:val="00910E1F"/>
    <w:rsid w:val="0091119C"/>
    <w:rsid w:val="0091150E"/>
    <w:rsid w:val="0091169C"/>
    <w:rsid w:val="00911991"/>
    <w:rsid w:val="00911EE5"/>
    <w:rsid w:val="009126E3"/>
    <w:rsid w:val="00912744"/>
    <w:rsid w:val="00912BFD"/>
    <w:rsid w:val="00912DF1"/>
    <w:rsid w:val="00914459"/>
    <w:rsid w:val="00914517"/>
    <w:rsid w:val="00914724"/>
    <w:rsid w:val="00914845"/>
    <w:rsid w:val="00915783"/>
    <w:rsid w:val="0091588D"/>
    <w:rsid w:val="00915A64"/>
    <w:rsid w:val="00915B8D"/>
    <w:rsid w:val="00915BAB"/>
    <w:rsid w:val="009165AE"/>
    <w:rsid w:val="0091666B"/>
    <w:rsid w:val="00917301"/>
    <w:rsid w:val="00917BAA"/>
    <w:rsid w:val="00917FB4"/>
    <w:rsid w:val="00920C4C"/>
    <w:rsid w:val="00921AFD"/>
    <w:rsid w:val="00921BA3"/>
    <w:rsid w:val="00922338"/>
    <w:rsid w:val="0092258C"/>
    <w:rsid w:val="009227E4"/>
    <w:rsid w:val="00922A65"/>
    <w:rsid w:val="00922AC1"/>
    <w:rsid w:val="009232B5"/>
    <w:rsid w:val="00923A96"/>
    <w:rsid w:val="00923B49"/>
    <w:rsid w:val="00924091"/>
    <w:rsid w:val="00924640"/>
    <w:rsid w:val="0092488E"/>
    <w:rsid w:val="00925074"/>
    <w:rsid w:val="00925B2D"/>
    <w:rsid w:val="00926FBE"/>
    <w:rsid w:val="009272E8"/>
    <w:rsid w:val="009274B2"/>
    <w:rsid w:val="0092781B"/>
    <w:rsid w:val="00927DA3"/>
    <w:rsid w:val="00927EC0"/>
    <w:rsid w:val="00927F89"/>
    <w:rsid w:val="009301C1"/>
    <w:rsid w:val="0093059D"/>
    <w:rsid w:val="00930B30"/>
    <w:rsid w:val="0093158E"/>
    <w:rsid w:val="00932DE9"/>
    <w:rsid w:val="009337F2"/>
    <w:rsid w:val="00933B80"/>
    <w:rsid w:val="00933C32"/>
    <w:rsid w:val="00934210"/>
    <w:rsid w:val="0093479E"/>
    <w:rsid w:val="00934AA0"/>
    <w:rsid w:val="00935371"/>
    <w:rsid w:val="00935F0C"/>
    <w:rsid w:val="0093660B"/>
    <w:rsid w:val="009367F8"/>
    <w:rsid w:val="009379B9"/>
    <w:rsid w:val="00941A7D"/>
    <w:rsid w:val="00941D8F"/>
    <w:rsid w:val="00942300"/>
    <w:rsid w:val="009428B4"/>
    <w:rsid w:val="00942B6F"/>
    <w:rsid w:val="00942FDF"/>
    <w:rsid w:val="00943CC6"/>
    <w:rsid w:val="00943FE6"/>
    <w:rsid w:val="009449DF"/>
    <w:rsid w:val="00944E55"/>
    <w:rsid w:val="009458A5"/>
    <w:rsid w:val="009464D4"/>
    <w:rsid w:val="00946528"/>
    <w:rsid w:val="0094666D"/>
    <w:rsid w:val="00947420"/>
    <w:rsid w:val="009500A7"/>
    <w:rsid w:val="009502E1"/>
    <w:rsid w:val="009504D2"/>
    <w:rsid w:val="00950ED4"/>
    <w:rsid w:val="009514AF"/>
    <w:rsid w:val="009521D7"/>
    <w:rsid w:val="009523BC"/>
    <w:rsid w:val="00953DB1"/>
    <w:rsid w:val="00953EC4"/>
    <w:rsid w:val="00954093"/>
    <w:rsid w:val="00954B8A"/>
    <w:rsid w:val="00955994"/>
    <w:rsid w:val="00955D55"/>
    <w:rsid w:val="00955F12"/>
    <w:rsid w:val="00956674"/>
    <w:rsid w:val="00956A1B"/>
    <w:rsid w:val="0095700D"/>
    <w:rsid w:val="009573EC"/>
    <w:rsid w:val="00957762"/>
    <w:rsid w:val="009602B5"/>
    <w:rsid w:val="0096057F"/>
    <w:rsid w:val="00960D1F"/>
    <w:rsid w:val="00960F00"/>
    <w:rsid w:val="00961447"/>
    <w:rsid w:val="0096197B"/>
    <w:rsid w:val="00961AD6"/>
    <w:rsid w:val="00961BBC"/>
    <w:rsid w:val="00962293"/>
    <w:rsid w:val="0096244D"/>
    <w:rsid w:val="00962A19"/>
    <w:rsid w:val="00962B09"/>
    <w:rsid w:val="00963141"/>
    <w:rsid w:val="00963B8C"/>
    <w:rsid w:val="00963DC4"/>
    <w:rsid w:val="0096492A"/>
    <w:rsid w:val="00964BAD"/>
    <w:rsid w:val="00964D76"/>
    <w:rsid w:val="00964EF4"/>
    <w:rsid w:val="0096591E"/>
    <w:rsid w:val="00965F2E"/>
    <w:rsid w:val="00967736"/>
    <w:rsid w:val="009677CE"/>
    <w:rsid w:val="00967B59"/>
    <w:rsid w:val="00967DAA"/>
    <w:rsid w:val="00970C49"/>
    <w:rsid w:val="009712D8"/>
    <w:rsid w:val="009733E6"/>
    <w:rsid w:val="009736F6"/>
    <w:rsid w:val="00973F8B"/>
    <w:rsid w:val="009746A6"/>
    <w:rsid w:val="00974AD6"/>
    <w:rsid w:val="009764D1"/>
    <w:rsid w:val="009779E3"/>
    <w:rsid w:val="00977A24"/>
    <w:rsid w:val="00980EDF"/>
    <w:rsid w:val="00981FDD"/>
    <w:rsid w:val="00982040"/>
    <w:rsid w:val="00982399"/>
    <w:rsid w:val="0098288C"/>
    <w:rsid w:val="00983122"/>
    <w:rsid w:val="00986268"/>
    <w:rsid w:val="0098681D"/>
    <w:rsid w:val="00987161"/>
    <w:rsid w:val="0098726D"/>
    <w:rsid w:val="0098766D"/>
    <w:rsid w:val="0098773A"/>
    <w:rsid w:val="0098773B"/>
    <w:rsid w:val="00987B5F"/>
    <w:rsid w:val="0099006A"/>
    <w:rsid w:val="00990733"/>
    <w:rsid w:val="00990A2C"/>
    <w:rsid w:val="00990BD8"/>
    <w:rsid w:val="00990CEC"/>
    <w:rsid w:val="0099104D"/>
    <w:rsid w:val="0099273B"/>
    <w:rsid w:val="0099297E"/>
    <w:rsid w:val="00992F1E"/>
    <w:rsid w:val="0099339F"/>
    <w:rsid w:val="009936B4"/>
    <w:rsid w:val="00993CC1"/>
    <w:rsid w:val="00993E6F"/>
    <w:rsid w:val="009940F7"/>
    <w:rsid w:val="00994818"/>
    <w:rsid w:val="00994BF9"/>
    <w:rsid w:val="009953C3"/>
    <w:rsid w:val="00995662"/>
    <w:rsid w:val="00995CB2"/>
    <w:rsid w:val="00995F23"/>
    <w:rsid w:val="00995F71"/>
    <w:rsid w:val="00996346"/>
    <w:rsid w:val="00996B27"/>
    <w:rsid w:val="00997306"/>
    <w:rsid w:val="009979CC"/>
    <w:rsid w:val="009A19B4"/>
    <w:rsid w:val="009A1A02"/>
    <w:rsid w:val="009A3A46"/>
    <w:rsid w:val="009A48B8"/>
    <w:rsid w:val="009A5048"/>
    <w:rsid w:val="009A58FF"/>
    <w:rsid w:val="009A5A41"/>
    <w:rsid w:val="009A5FA7"/>
    <w:rsid w:val="009A6B7E"/>
    <w:rsid w:val="009A7CF3"/>
    <w:rsid w:val="009B1039"/>
    <w:rsid w:val="009B23F8"/>
    <w:rsid w:val="009B268C"/>
    <w:rsid w:val="009B28CE"/>
    <w:rsid w:val="009B47A0"/>
    <w:rsid w:val="009B54D0"/>
    <w:rsid w:val="009B57AA"/>
    <w:rsid w:val="009B5FD4"/>
    <w:rsid w:val="009B6076"/>
    <w:rsid w:val="009B65B0"/>
    <w:rsid w:val="009B70FF"/>
    <w:rsid w:val="009B76D5"/>
    <w:rsid w:val="009C020F"/>
    <w:rsid w:val="009C0A97"/>
    <w:rsid w:val="009C1ADF"/>
    <w:rsid w:val="009C1C1C"/>
    <w:rsid w:val="009C2EED"/>
    <w:rsid w:val="009C5117"/>
    <w:rsid w:val="009C53F1"/>
    <w:rsid w:val="009C5881"/>
    <w:rsid w:val="009C59B1"/>
    <w:rsid w:val="009C5A4F"/>
    <w:rsid w:val="009C6587"/>
    <w:rsid w:val="009C6F7D"/>
    <w:rsid w:val="009C716E"/>
    <w:rsid w:val="009C72DC"/>
    <w:rsid w:val="009C774D"/>
    <w:rsid w:val="009C7809"/>
    <w:rsid w:val="009C7AA8"/>
    <w:rsid w:val="009C7E9A"/>
    <w:rsid w:val="009D06DD"/>
    <w:rsid w:val="009D0C3D"/>
    <w:rsid w:val="009D0E63"/>
    <w:rsid w:val="009D0EA3"/>
    <w:rsid w:val="009D1F9B"/>
    <w:rsid w:val="009D2A3B"/>
    <w:rsid w:val="009D3291"/>
    <w:rsid w:val="009D3563"/>
    <w:rsid w:val="009D41A2"/>
    <w:rsid w:val="009D4407"/>
    <w:rsid w:val="009D4422"/>
    <w:rsid w:val="009D5738"/>
    <w:rsid w:val="009D6790"/>
    <w:rsid w:val="009D67C5"/>
    <w:rsid w:val="009D6FA1"/>
    <w:rsid w:val="009D7539"/>
    <w:rsid w:val="009D7DD3"/>
    <w:rsid w:val="009E0C49"/>
    <w:rsid w:val="009E1C8B"/>
    <w:rsid w:val="009E20EC"/>
    <w:rsid w:val="009E244F"/>
    <w:rsid w:val="009E318A"/>
    <w:rsid w:val="009E36C9"/>
    <w:rsid w:val="009E3A16"/>
    <w:rsid w:val="009E3EDD"/>
    <w:rsid w:val="009E4D60"/>
    <w:rsid w:val="009E5089"/>
    <w:rsid w:val="009E52BA"/>
    <w:rsid w:val="009E52D3"/>
    <w:rsid w:val="009E5407"/>
    <w:rsid w:val="009E6E0A"/>
    <w:rsid w:val="009E761B"/>
    <w:rsid w:val="009F0263"/>
    <w:rsid w:val="009F030E"/>
    <w:rsid w:val="009F209F"/>
    <w:rsid w:val="009F21F3"/>
    <w:rsid w:val="009F24C4"/>
    <w:rsid w:val="009F2CCD"/>
    <w:rsid w:val="009F3853"/>
    <w:rsid w:val="009F520E"/>
    <w:rsid w:val="009F7BE4"/>
    <w:rsid w:val="00A010F8"/>
    <w:rsid w:val="00A01C9C"/>
    <w:rsid w:val="00A01E17"/>
    <w:rsid w:val="00A01F05"/>
    <w:rsid w:val="00A02477"/>
    <w:rsid w:val="00A025A9"/>
    <w:rsid w:val="00A02A50"/>
    <w:rsid w:val="00A033F4"/>
    <w:rsid w:val="00A038E5"/>
    <w:rsid w:val="00A03E9A"/>
    <w:rsid w:val="00A04E31"/>
    <w:rsid w:val="00A053E4"/>
    <w:rsid w:val="00A05CD3"/>
    <w:rsid w:val="00A0650F"/>
    <w:rsid w:val="00A0695F"/>
    <w:rsid w:val="00A06E8D"/>
    <w:rsid w:val="00A104C5"/>
    <w:rsid w:val="00A10742"/>
    <w:rsid w:val="00A10CB8"/>
    <w:rsid w:val="00A116C5"/>
    <w:rsid w:val="00A11BE2"/>
    <w:rsid w:val="00A12079"/>
    <w:rsid w:val="00A12322"/>
    <w:rsid w:val="00A12CA3"/>
    <w:rsid w:val="00A12F9D"/>
    <w:rsid w:val="00A14974"/>
    <w:rsid w:val="00A14D27"/>
    <w:rsid w:val="00A15558"/>
    <w:rsid w:val="00A156D6"/>
    <w:rsid w:val="00A161AE"/>
    <w:rsid w:val="00A16741"/>
    <w:rsid w:val="00A16CA3"/>
    <w:rsid w:val="00A2030D"/>
    <w:rsid w:val="00A2118B"/>
    <w:rsid w:val="00A216C7"/>
    <w:rsid w:val="00A218F0"/>
    <w:rsid w:val="00A21BB6"/>
    <w:rsid w:val="00A21CF0"/>
    <w:rsid w:val="00A21F0D"/>
    <w:rsid w:val="00A24076"/>
    <w:rsid w:val="00A2506A"/>
    <w:rsid w:val="00A2574B"/>
    <w:rsid w:val="00A25AA0"/>
    <w:rsid w:val="00A25B52"/>
    <w:rsid w:val="00A26D69"/>
    <w:rsid w:val="00A27326"/>
    <w:rsid w:val="00A2798F"/>
    <w:rsid w:val="00A300A0"/>
    <w:rsid w:val="00A3064F"/>
    <w:rsid w:val="00A30D41"/>
    <w:rsid w:val="00A30D44"/>
    <w:rsid w:val="00A30EC9"/>
    <w:rsid w:val="00A312A9"/>
    <w:rsid w:val="00A315D0"/>
    <w:rsid w:val="00A32415"/>
    <w:rsid w:val="00A32778"/>
    <w:rsid w:val="00A32FB9"/>
    <w:rsid w:val="00A33F59"/>
    <w:rsid w:val="00A34439"/>
    <w:rsid w:val="00A34963"/>
    <w:rsid w:val="00A34A07"/>
    <w:rsid w:val="00A3536B"/>
    <w:rsid w:val="00A35C45"/>
    <w:rsid w:val="00A3618A"/>
    <w:rsid w:val="00A36B5D"/>
    <w:rsid w:val="00A36E28"/>
    <w:rsid w:val="00A370F0"/>
    <w:rsid w:val="00A37DC9"/>
    <w:rsid w:val="00A411BC"/>
    <w:rsid w:val="00A41249"/>
    <w:rsid w:val="00A42429"/>
    <w:rsid w:val="00A424CF"/>
    <w:rsid w:val="00A42A4C"/>
    <w:rsid w:val="00A42AD6"/>
    <w:rsid w:val="00A43F88"/>
    <w:rsid w:val="00A44093"/>
    <w:rsid w:val="00A44702"/>
    <w:rsid w:val="00A4553C"/>
    <w:rsid w:val="00A45A66"/>
    <w:rsid w:val="00A46420"/>
    <w:rsid w:val="00A46C2A"/>
    <w:rsid w:val="00A47A27"/>
    <w:rsid w:val="00A47CCD"/>
    <w:rsid w:val="00A513D9"/>
    <w:rsid w:val="00A51FF3"/>
    <w:rsid w:val="00A52086"/>
    <w:rsid w:val="00A52708"/>
    <w:rsid w:val="00A529E8"/>
    <w:rsid w:val="00A52A91"/>
    <w:rsid w:val="00A53388"/>
    <w:rsid w:val="00A533A4"/>
    <w:rsid w:val="00A53F68"/>
    <w:rsid w:val="00A54518"/>
    <w:rsid w:val="00A54F62"/>
    <w:rsid w:val="00A550B4"/>
    <w:rsid w:val="00A56C2C"/>
    <w:rsid w:val="00A56EF9"/>
    <w:rsid w:val="00A57248"/>
    <w:rsid w:val="00A57ABF"/>
    <w:rsid w:val="00A57B51"/>
    <w:rsid w:val="00A60635"/>
    <w:rsid w:val="00A60999"/>
    <w:rsid w:val="00A609DC"/>
    <w:rsid w:val="00A60B77"/>
    <w:rsid w:val="00A60C6F"/>
    <w:rsid w:val="00A60CED"/>
    <w:rsid w:val="00A61890"/>
    <w:rsid w:val="00A621C1"/>
    <w:rsid w:val="00A6357B"/>
    <w:rsid w:val="00A63D3A"/>
    <w:rsid w:val="00A6476E"/>
    <w:rsid w:val="00A649E3"/>
    <w:rsid w:val="00A64E79"/>
    <w:rsid w:val="00A650DB"/>
    <w:rsid w:val="00A65778"/>
    <w:rsid w:val="00A65900"/>
    <w:rsid w:val="00A6602C"/>
    <w:rsid w:val="00A666A4"/>
    <w:rsid w:val="00A67302"/>
    <w:rsid w:val="00A673EB"/>
    <w:rsid w:val="00A67AA5"/>
    <w:rsid w:val="00A71010"/>
    <w:rsid w:val="00A710AD"/>
    <w:rsid w:val="00A717C1"/>
    <w:rsid w:val="00A71982"/>
    <w:rsid w:val="00A71F5A"/>
    <w:rsid w:val="00A7360D"/>
    <w:rsid w:val="00A73AAD"/>
    <w:rsid w:val="00A747C0"/>
    <w:rsid w:val="00A747F6"/>
    <w:rsid w:val="00A754E2"/>
    <w:rsid w:val="00A75BEC"/>
    <w:rsid w:val="00A75F05"/>
    <w:rsid w:val="00A75FCE"/>
    <w:rsid w:val="00A760BE"/>
    <w:rsid w:val="00A76D94"/>
    <w:rsid w:val="00A76FAC"/>
    <w:rsid w:val="00A7708A"/>
    <w:rsid w:val="00A770E1"/>
    <w:rsid w:val="00A77127"/>
    <w:rsid w:val="00A773FE"/>
    <w:rsid w:val="00A80131"/>
    <w:rsid w:val="00A80484"/>
    <w:rsid w:val="00A80787"/>
    <w:rsid w:val="00A80CBD"/>
    <w:rsid w:val="00A811D2"/>
    <w:rsid w:val="00A81BC8"/>
    <w:rsid w:val="00A820E8"/>
    <w:rsid w:val="00A82423"/>
    <w:rsid w:val="00A82D60"/>
    <w:rsid w:val="00A83A3D"/>
    <w:rsid w:val="00A83C1F"/>
    <w:rsid w:val="00A83CBD"/>
    <w:rsid w:val="00A83D67"/>
    <w:rsid w:val="00A8440D"/>
    <w:rsid w:val="00A844AF"/>
    <w:rsid w:val="00A847AD"/>
    <w:rsid w:val="00A85311"/>
    <w:rsid w:val="00A85375"/>
    <w:rsid w:val="00A85685"/>
    <w:rsid w:val="00A85BF0"/>
    <w:rsid w:val="00A85C64"/>
    <w:rsid w:val="00A86A4F"/>
    <w:rsid w:val="00A873A7"/>
    <w:rsid w:val="00A87AB6"/>
    <w:rsid w:val="00A87BFE"/>
    <w:rsid w:val="00A87D64"/>
    <w:rsid w:val="00A90600"/>
    <w:rsid w:val="00A90D42"/>
    <w:rsid w:val="00A90E33"/>
    <w:rsid w:val="00A91BD1"/>
    <w:rsid w:val="00A91C38"/>
    <w:rsid w:val="00A91C6A"/>
    <w:rsid w:val="00A91D3D"/>
    <w:rsid w:val="00A91DFA"/>
    <w:rsid w:val="00A93147"/>
    <w:rsid w:val="00A93FF7"/>
    <w:rsid w:val="00A946E7"/>
    <w:rsid w:val="00A94BA2"/>
    <w:rsid w:val="00A94C84"/>
    <w:rsid w:val="00A94E6D"/>
    <w:rsid w:val="00A94F74"/>
    <w:rsid w:val="00A95278"/>
    <w:rsid w:val="00A959B7"/>
    <w:rsid w:val="00A96514"/>
    <w:rsid w:val="00A96782"/>
    <w:rsid w:val="00AA066F"/>
    <w:rsid w:val="00AA07AE"/>
    <w:rsid w:val="00AA14A3"/>
    <w:rsid w:val="00AA1657"/>
    <w:rsid w:val="00AA2ABE"/>
    <w:rsid w:val="00AA31DF"/>
    <w:rsid w:val="00AA3A64"/>
    <w:rsid w:val="00AA3D08"/>
    <w:rsid w:val="00AA3DC8"/>
    <w:rsid w:val="00AA4D09"/>
    <w:rsid w:val="00AA4DBA"/>
    <w:rsid w:val="00AA593D"/>
    <w:rsid w:val="00AA5C84"/>
    <w:rsid w:val="00AA610A"/>
    <w:rsid w:val="00AA663D"/>
    <w:rsid w:val="00AA7174"/>
    <w:rsid w:val="00AA7444"/>
    <w:rsid w:val="00AA7588"/>
    <w:rsid w:val="00AA7972"/>
    <w:rsid w:val="00AB0983"/>
    <w:rsid w:val="00AB0985"/>
    <w:rsid w:val="00AB1BE8"/>
    <w:rsid w:val="00AB1F5C"/>
    <w:rsid w:val="00AB2013"/>
    <w:rsid w:val="00AB21BE"/>
    <w:rsid w:val="00AB2814"/>
    <w:rsid w:val="00AB2A51"/>
    <w:rsid w:val="00AB2DF4"/>
    <w:rsid w:val="00AB36B6"/>
    <w:rsid w:val="00AB3CB3"/>
    <w:rsid w:val="00AB4786"/>
    <w:rsid w:val="00AB48A3"/>
    <w:rsid w:val="00AB4B60"/>
    <w:rsid w:val="00AB4D1B"/>
    <w:rsid w:val="00AB4D26"/>
    <w:rsid w:val="00AB4D50"/>
    <w:rsid w:val="00AB618A"/>
    <w:rsid w:val="00AB645F"/>
    <w:rsid w:val="00AB7753"/>
    <w:rsid w:val="00AC14FF"/>
    <w:rsid w:val="00AC2E9F"/>
    <w:rsid w:val="00AC357E"/>
    <w:rsid w:val="00AC390D"/>
    <w:rsid w:val="00AC3B29"/>
    <w:rsid w:val="00AC4483"/>
    <w:rsid w:val="00AC4F98"/>
    <w:rsid w:val="00AC530B"/>
    <w:rsid w:val="00AC5585"/>
    <w:rsid w:val="00AC55E9"/>
    <w:rsid w:val="00AC5865"/>
    <w:rsid w:val="00AC5EBA"/>
    <w:rsid w:val="00AC602C"/>
    <w:rsid w:val="00AC6BA5"/>
    <w:rsid w:val="00AC6BEF"/>
    <w:rsid w:val="00AC6E18"/>
    <w:rsid w:val="00AC7463"/>
    <w:rsid w:val="00AC75D2"/>
    <w:rsid w:val="00AC7A73"/>
    <w:rsid w:val="00AD008E"/>
    <w:rsid w:val="00AD020B"/>
    <w:rsid w:val="00AD05DC"/>
    <w:rsid w:val="00AD0A3D"/>
    <w:rsid w:val="00AD152C"/>
    <w:rsid w:val="00AD153E"/>
    <w:rsid w:val="00AD237C"/>
    <w:rsid w:val="00AD2753"/>
    <w:rsid w:val="00AD34E2"/>
    <w:rsid w:val="00AD4AE8"/>
    <w:rsid w:val="00AD4F05"/>
    <w:rsid w:val="00AD6FF0"/>
    <w:rsid w:val="00AD6FFF"/>
    <w:rsid w:val="00AD70B6"/>
    <w:rsid w:val="00AD76E5"/>
    <w:rsid w:val="00AD7DBB"/>
    <w:rsid w:val="00AE0087"/>
    <w:rsid w:val="00AE188A"/>
    <w:rsid w:val="00AE22A5"/>
    <w:rsid w:val="00AE2830"/>
    <w:rsid w:val="00AE2DAD"/>
    <w:rsid w:val="00AE2EBF"/>
    <w:rsid w:val="00AE2F91"/>
    <w:rsid w:val="00AE4815"/>
    <w:rsid w:val="00AE49E5"/>
    <w:rsid w:val="00AE4CDB"/>
    <w:rsid w:val="00AE63E1"/>
    <w:rsid w:val="00AE73E9"/>
    <w:rsid w:val="00AE77A7"/>
    <w:rsid w:val="00AF00D8"/>
    <w:rsid w:val="00AF02E6"/>
    <w:rsid w:val="00AF04C5"/>
    <w:rsid w:val="00AF17C4"/>
    <w:rsid w:val="00AF2083"/>
    <w:rsid w:val="00AF20BF"/>
    <w:rsid w:val="00AF2565"/>
    <w:rsid w:val="00AF2961"/>
    <w:rsid w:val="00AF2B70"/>
    <w:rsid w:val="00AF2D31"/>
    <w:rsid w:val="00AF362B"/>
    <w:rsid w:val="00AF363A"/>
    <w:rsid w:val="00AF4548"/>
    <w:rsid w:val="00AF4B89"/>
    <w:rsid w:val="00AF5C3C"/>
    <w:rsid w:val="00AF5E62"/>
    <w:rsid w:val="00AF609E"/>
    <w:rsid w:val="00AF6B8D"/>
    <w:rsid w:val="00AF7084"/>
    <w:rsid w:val="00AF7171"/>
    <w:rsid w:val="00AF7300"/>
    <w:rsid w:val="00AF7F18"/>
    <w:rsid w:val="00B01672"/>
    <w:rsid w:val="00B02836"/>
    <w:rsid w:val="00B02F50"/>
    <w:rsid w:val="00B0316B"/>
    <w:rsid w:val="00B033C4"/>
    <w:rsid w:val="00B0378C"/>
    <w:rsid w:val="00B037A6"/>
    <w:rsid w:val="00B040A9"/>
    <w:rsid w:val="00B040C3"/>
    <w:rsid w:val="00B05498"/>
    <w:rsid w:val="00B06015"/>
    <w:rsid w:val="00B06059"/>
    <w:rsid w:val="00B0620B"/>
    <w:rsid w:val="00B06CE8"/>
    <w:rsid w:val="00B0708A"/>
    <w:rsid w:val="00B074B1"/>
    <w:rsid w:val="00B10260"/>
    <w:rsid w:val="00B11015"/>
    <w:rsid w:val="00B1120F"/>
    <w:rsid w:val="00B1216E"/>
    <w:rsid w:val="00B121E7"/>
    <w:rsid w:val="00B12211"/>
    <w:rsid w:val="00B1349D"/>
    <w:rsid w:val="00B13F78"/>
    <w:rsid w:val="00B1454F"/>
    <w:rsid w:val="00B14896"/>
    <w:rsid w:val="00B1673C"/>
    <w:rsid w:val="00B16885"/>
    <w:rsid w:val="00B1692E"/>
    <w:rsid w:val="00B16B29"/>
    <w:rsid w:val="00B16B53"/>
    <w:rsid w:val="00B16D54"/>
    <w:rsid w:val="00B171DC"/>
    <w:rsid w:val="00B1797F"/>
    <w:rsid w:val="00B17CB0"/>
    <w:rsid w:val="00B203B4"/>
    <w:rsid w:val="00B205A6"/>
    <w:rsid w:val="00B20618"/>
    <w:rsid w:val="00B20794"/>
    <w:rsid w:val="00B20D3E"/>
    <w:rsid w:val="00B21418"/>
    <w:rsid w:val="00B2174D"/>
    <w:rsid w:val="00B21C16"/>
    <w:rsid w:val="00B222E1"/>
    <w:rsid w:val="00B22DD1"/>
    <w:rsid w:val="00B230C0"/>
    <w:rsid w:val="00B23430"/>
    <w:rsid w:val="00B236C5"/>
    <w:rsid w:val="00B236F2"/>
    <w:rsid w:val="00B239B1"/>
    <w:rsid w:val="00B23A5C"/>
    <w:rsid w:val="00B24427"/>
    <w:rsid w:val="00B25575"/>
    <w:rsid w:val="00B25A01"/>
    <w:rsid w:val="00B2642D"/>
    <w:rsid w:val="00B26B05"/>
    <w:rsid w:val="00B26C7E"/>
    <w:rsid w:val="00B26F63"/>
    <w:rsid w:val="00B275CE"/>
    <w:rsid w:val="00B27EA6"/>
    <w:rsid w:val="00B302E1"/>
    <w:rsid w:val="00B303E0"/>
    <w:rsid w:val="00B3051E"/>
    <w:rsid w:val="00B3231B"/>
    <w:rsid w:val="00B3239E"/>
    <w:rsid w:val="00B32E0A"/>
    <w:rsid w:val="00B34C4D"/>
    <w:rsid w:val="00B34D61"/>
    <w:rsid w:val="00B3529E"/>
    <w:rsid w:val="00B36634"/>
    <w:rsid w:val="00B36BB2"/>
    <w:rsid w:val="00B36DE9"/>
    <w:rsid w:val="00B36E35"/>
    <w:rsid w:val="00B370BA"/>
    <w:rsid w:val="00B371F0"/>
    <w:rsid w:val="00B379B2"/>
    <w:rsid w:val="00B37B91"/>
    <w:rsid w:val="00B40635"/>
    <w:rsid w:val="00B408F2"/>
    <w:rsid w:val="00B418AB"/>
    <w:rsid w:val="00B41BA2"/>
    <w:rsid w:val="00B4231C"/>
    <w:rsid w:val="00B42987"/>
    <w:rsid w:val="00B441B7"/>
    <w:rsid w:val="00B442F3"/>
    <w:rsid w:val="00B44873"/>
    <w:rsid w:val="00B455A7"/>
    <w:rsid w:val="00B467B0"/>
    <w:rsid w:val="00B46878"/>
    <w:rsid w:val="00B469AB"/>
    <w:rsid w:val="00B46EF0"/>
    <w:rsid w:val="00B4762A"/>
    <w:rsid w:val="00B50235"/>
    <w:rsid w:val="00B507FC"/>
    <w:rsid w:val="00B51D21"/>
    <w:rsid w:val="00B520FC"/>
    <w:rsid w:val="00B525DC"/>
    <w:rsid w:val="00B5295E"/>
    <w:rsid w:val="00B52BC0"/>
    <w:rsid w:val="00B52FF2"/>
    <w:rsid w:val="00B5301C"/>
    <w:rsid w:val="00B5417B"/>
    <w:rsid w:val="00B54214"/>
    <w:rsid w:val="00B54E1D"/>
    <w:rsid w:val="00B55BD9"/>
    <w:rsid w:val="00B55BEB"/>
    <w:rsid w:val="00B55EDB"/>
    <w:rsid w:val="00B5600C"/>
    <w:rsid w:val="00B572DA"/>
    <w:rsid w:val="00B610CC"/>
    <w:rsid w:val="00B616A2"/>
    <w:rsid w:val="00B61D2F"/>
    <w:rsid w:val="00B6203C"/>
    <w:rsid w:val="00B62816"/>
    <w:rsid w:val="00B63840"/>
    <w:rsid w:val="00B63F14"/>
    <w:rsid w:val="00B64246"/>
    <w:rsid w:val="00B64425"/>
    <w:rsid w:val="00B6549E"/>
    <w:rsid w:val="00B654B1"/>
    <w:rsid w:val="00B655FD"/>
    <w:rsid w:val="00B656F2"/>
    <w:rsid w:val="00B661A3"/>
    <w:rsid w:val="00B663A1"/>
    <w:rsid w:val="00B663EE"/>
    <w:rsid w:val="00B66A53"/>
    <w:rsid w:val="00B674EA"/>
    <w:rsid w:val="00B67E10"/>
    <w:rsid w:val="00B7098F"/>
    <w:rsid w:val="00B70A51"/>
    <w:rsid w:val="00B711B6"/>
    <w:rsid w:val="00B716FE"/>
    <w:rsid w:val="00B720A5"/>
    <w:rsid w:val="00B739B1"/>
    <w:rsid w:val="00B74ED0"/>
    <w:rsid w:val="00B75B2E"/>
    <w:rsid w:val="00B80559"/>
    <w:rsid w:val="00B80A10"/>
    <w:rsid w:val="00B8137C"/>
    <w:rsid w:val="00B81A54"/>
    <w:rsid w:val="00B823EA"/>
    <w:rsid w:val="00B824C0"/>
    <w:rsid w:val="00B82CAF"/>
    <w:rsid w:val="00B82F4B"/>
    <w:rsid w:val="00B832ED"/>
    <w:rsid w:val="00B836B2"/>
    <w:rsid w:val="00B83913"/>
    <w:rsid w:val="00B83E50"/>
    <w:rsid w:val="00B84462"/>
    <w:rsid w:val="00B8446A"/>
    <w:rsid w:val="00B845C7"/>
    <w:rsid w:val="00B84B26"/>
    <w:rsid w:val="00B85068"/>
    <w:rsid w:val="00B85287"/>
    <w:rsid w:val="00B85C7A"/>
    <w:rsid w:val="00B85ECD"/>
    <w:rsid w:val="00B85F4E"/>
    <w:rsid w:val="00B8618F"/>
    <w:rsid w:val="00B86E1C"/>
    <w:rsid w:val="00B8702C"/>
    <w:rsid w:val="00B87F1D"/>
    <w:rsid w:val="00B90571"/>
    <w:rsid w:val="00B90675"/>
    <w:rsid w:val="00B906CC"/>
    <w:rsid w:val="00B9074F"/>
    <w:rsid w:val="00B9097B"/>
    <w:rsid w:val="00B90D91"/>
    <w:rsid w:val="00B90FF8"/>
    <w:rsid w:val="00B91691"/>
    <w:rsid w:val="00B926E1"/>
    <w:rsid w:val="00B927E6"/>
    <w:rsid w:val="00B93167"/>
    <w:rsid w:val="00B93AC5"/>
    <w:rsid w:val="00B93B75"/>
    <w:rsid w:val="00B93B92"/>
    <w:rsid w:val="00B94E58"/>
    <w:rsid w:val="00B966B6"/>
    <w:rsid w:val="00B971A2"/>
    <w:rsid w:val="00B97404"/>
    <w:rsid w:val="00B977F4"/>
    <w:rsid w:val="00B9796B"/>
    <w:rsid w:val="00BA0CC5"/>
    <w:rsid w:val="00BA132A"/>
    <w:rsid w:val="00BA1445"/>
    <w:rsid w:val="00BA1960"/>
    <w:rsid w:val="00BA1A6C"/>
    <w:rsid w:val="00BA215F"/>
    <w:rsid w:val="00BA286A"/>
    <w:rsid w:val="00BA2F6C"/>
    <w:rsid w:val="00BA3B9D"/>
    <w:rsid w:val="00BA4546"/>
    <w:rsid w:val="00BA4E8A"/>
    <w:rsid w:val="00BA5525"/>
    <w:rsid w:val="00BA5919"/>
    <w:rsid w:val="00BA5E4A"/>
    <w:rsid w:val="00BA7960"/>
    <w:rsid w:val="00BB103E"/>
    <w:rsid w:val="00BB1366"/>
    <w:rsid w:val="00BB14C2"/>
    <w:rsid w:val="00BB15A4"/>
    <w:rsid w:val="00BB1915"/>
    <w:rsid w:val="00BB1CFA"/>
    <w:rsid w:val="00BB2103"/>
    <w:rsid w:val="00BB2E09"/>
    <w:rsid w:val="00BB2F43"/>
    <w:rsid w:val="00BB31E5"/>
    <w:rsid w:val="00BB40FE"/>
    <w:rsid w:val="00BB448B"/>
    <w:rsid w:val="00BB45EB"/>
    <w:rsid w:val="00BB494A"/>
    <w:rsid w:val="00BB49CC"/>
    <w:rsid w:val="00BB4A97"/>
    <w:rsid w:val="00BB5263"/>
    <w:rsid w:val="00BB5289"/>
    <w:rsid w:val="00BB54C3"/>
    <w:rsid w:val="00BB56B3"/>
    <w:rsid w:val="00BB581E"/>
    <w:rsid w:val="00BB602A"/>
    <w:rsid w:val="00BB6D4F"/>
    <w:rsid w:val="00BB6DE5"/>
    <w:rsid w:val="00BB7D01"/>
    <w:rsid w:val="00BB7ED8"/>
    <w:rsid w:val="00BC0410"/>
    <w:rsid w:val="00BC0430"/>
    <w:rsid w:val="00BC151A"/>
    <w:rsid w:val="00BC20A2"/>
    <w:rsid w:val="00BC2114"/>
    <w:rsid w:val="00BC22CC"/>
    <w:rsid w:val="00BC23E3"/>
    <w:rsid w:val="00BC264C"/>
    <w:rsid w:val="00BC28E6"/>
    <w:rsid w:val="00BC2F38"/>
    <w:rsid w:val="00BC3D25"/>
    <w:rsid w:val="00BC4712"/>
    <w:rsid w:val="00BC4A06"/>
    <w:rsid w:val="00BC5136"/>
    <w:rsid w:val="00BC549D"/>
    <w:rsid w:val="00BC59BD"/>
    <w:rsid w:val="00BC5A94"/>
    <w:rsid w:val="00BC5EAF"/>
    <w:rsid w:val="00BC5FB3"/>
    <w:rsid w:val="00BC6917"/>
    <w:rsid w:val="00BC6D6C"/>
    <w:rsid w:val="00BC77F4"/>
    <w:rsid w:val="00BD0185"/>
    <w:rsid w:val="00BD03D6"/>
    <w:rsid w:val="00BD0B0D"/>
    <w:rsid w:val="00BD0FE9"/>
    <w:rsid w:val="00BD166D"/>
    <w:rsid w:val="00BD252D"/>
    <w:rsid w:val="00BD27A3"/>
    <w:rsid w:val="00BD2948"/>
    <w:rsid w:val="00BD3A20"/>
    <w:rsid w:val="00BD3CFF"/>
    <w:rsid w:val="00BD439D"/>
    <w:rsid w:val="00BD44EA"/>
    <w:rsid w:val="00BD5051"/>
    <w:rsid w:val="00BD58B3"/>
    <w:rsid w:val="00BD6726"/>
    <w:rsid w:val="00BD6874"/>
    <w:rsid w:val="00BD6907"/>
    <w:rsid w:val="00BD6FEE"/>
    <w:rsid w:val="00BD7345"/>
    <w:rsid w:val="00BD761E"/>
    <w:rsid w:val="00BD7D75"/>
    <w:rsid w:val="00BD7DAB"/>
    <w:rsid w:val="00BE0228"/>
    <w:rsid w:val="00BE0343"/>
    <w:rsid w:val="00BE0393"/>
    <w:rsid w:val="00BE0488"/>
    <w:rsid w:val="00BE0AB2"/>
    <w:rsid w:val="00BE1081"/>
    <w:rsid w:val="00BE1D49"/>
    <w:rsid w:val="00BE1F21"/>
    <w:rsid w:val="00BE1F2E"/>
    <w:rsid w:val="00BE2445"/>
    <w:rsid w:val="00BE249E"/>
    <w:rsid w:val="00BE2FFA"/>
    <w:rsid w:val="00BE39AB"/>
    <w:rsid w:val="00BE3BFD"/>
    <w:rsid w:val="00BE43FA"/>
    <w:rsid w:val="00BE51A2"/>
    <w:rsid w:val="00BE6691"/>
    <w:rsid w:val="00BE6A7E"/>
    <w:rsid w:val="00BE76A1"/>
    <w:rsid w:val="00BE7958"/>
    <w:rsid w:val="00BF08DB"/>
    <w:rsid w:val="00BF0E4D"/>
    <w:rsid w:val="00BF1087"/>
    <w:rsid w:val="00BF11A6"/>
    <w:rsid w:val="00BF1641"/>
    <w:rsid w:val="00BF1C0F"/>
    <w:rsid w:val="00BF2AF9"/>
    <w:rsid w:val="00BF323C"/>
    <w:rsid w:val="00BF3D27"/>
    <w:rsid w:val="00BF5214"/>
    <w:rsid w:val="00BF5358"/>
    <w:rsid w:val="00BF6C97"/>
    <w:rsid w:val="00BF78A2"/>
    <w:rsid w:val="00C00C3F"/>
    <w:rsid w:val="00C02865"/>
    <w:rsid w:val="00C03464"/>
    <w:rsid w:val="00C04331"/>
    <w:rsid w:val="00C04403"/>
    <w:rsid w:val="00C04CE0"/>
    <w:rsid w:val="00C05144"/>
    <w:rsid w:val="00C053FF"/>
    <w:rsid w:val="00C05408"/>
    <w:rsid w:val="00C0578F"/>
    <w:rsid w:val="00C0620A"/>
    <w:rsid w:val="00C06D13"/>
    <w:rsid w:val="00C0701A"/>
    <w:rsid w:val="00C0777F"/>
    <w:rsid w:val="00C07AA4"/>
    <w:rsid w:val="00C100DF"/>
    <w:rsid w:val="00C101D5"/>
    <w:rsid w:val="00C103BC"/>
    <w:rsid w:val="00C114DD"/>
    <w:rsid w:val="00C11FA2"/>
    <w:rsid w:val="00C11FFA"/>
    <w:rsid w:val="00C1273C"/>
    <w:rsid w:val="00C12B34"/>
    <w:rsid w:val="00C130A3"/>
    <w:rsid w:val="00C131C9"/>
    <w:rsid w:val="00C1331F"/>
    <w:rsid w:val="00C136FE"/>
    <w:rsid w:val="00C13D3F"/>
    <w:rsid w:val="00C13DAD"/>
    <w:rsid w:val="00C149E1"/>
    <w:rsid w:val="00C1542F"/>
    <w:rsid w:val="00C15A95"/>
    <w:rsid w:val="00C1654A"/>
    <w:rsid w:val="00C17A63"/>
    <w:rsid w:val="00C204C7"/>
    <w:rsid w:val="00C20989"/>
    <w:rsid w:val="00C21227"/>
    <w:rsid w:val="00C214FE"/>
    <w:rsid w:val="00C22250"/>
    <w:rsid w:val="00C223D1"/>
    <w:rsid w:val="00C23055"/>
    <w:rsid w:val="00C2384F"/>
    <w:rsid w:val="00C239FA"/>
    <w:rsid w:val="00C241C0"/>
    <w:rsid w:val="00C24230"/>
    <w:rsid w:val="00C24374"/>
    <w:rsid w:val="00C244C6"/>
    <w:rsid w:val="00C247D3"/>
    <w:rsid w:val="00C24904"/>
    <w:rsid w:val="00C249EE"/>
    <w:rsid w:val="00C24C64"/>
    <w:rsid w:val="00C2545E"/>
    <w:rsid w:val="00C257FF"/>
    <w:rsid w:val="00C2592D"/>
    <w:rsid w:val="00C25A21"/>
    <w:rsid w:val="00C26416"/>
    <w:rsid w:val="00C266C2"/>
    <w:rsid w:val="00C2681E"/>
    <w:rsid w:val="00C26E46"/>
    <w:rsid w:val="00C27345"/>
    <w:rsid w:val="00C27C5A"/>
    <w:rsid w:val="00C27D08"/>
    <w:rsid w:val="00C304E9"/>
    <w:rsid w:val="00C31472"/>
    <w:rsid w:val="00C31724"/>
    <w:rsid w:val="00C3179F"/>
    <w:rsid w:val="00C31DD8"/>
    <w:rsid w:val="00C32FE2"/>
    <w:rsid w:val="00C3303D"/>
    <w:rsid w:val="00C3319A"/>
    <w:rsid w:val="00C333DE"/>
    <w:rsid w:val="00C339DA"/>
    <w:rsid w:val="00C33BD4"/>
    <w:rsid w:val="00C34CCE"/>
    <w:rsid w:val="00C3551E"/>
    <w:rsid w:val="00C3564A"/>
    <w:rsid w:val="00C35B32"/>
    <w:rsid w:val="00C360F5"/>
    <w:rsid w:val="00C3610B"/>
    <w:rsid w:val="00C36268"/>
    <w:rsid w:val="00C364AE"/>
    <w:rsid w:val="00C36731"/>
    <w:rsid w:val="00C36EC6"/>
    <w:rsid w:val="00C40272"/>
    <w:rsid w:val="00C40CF8"/>
    <w:rsid w:val="00C418EC"/>
    <w:rsid w:val="00C41FA4"/>
    <w:rsid w:val="00C42FB3"/>
    <w:rsid w:val="00C43F43"/>
    <w:rsid w:val="00C44727"/>
    <w:rsid w:val="00C45468"/>
    <w:rsid w:val="00C46424"/>
    <w:rsid w:val="00C46F33"/>
    <w:rsid w:val="00C4707B"/>
    <w:rsid w:val="00C4760A"/>
    <w:rsid w:val="00C5043B"/>
    <w:rsid w:val="00C50D25"/>
    <w:rsid w:val="00C51217"/>
    <w:rsid w:val="00C512E5"/>
    <w:rsid w:val="00C5223A"/>
    <w:rsid w:val="00C524ED"/>
    <w:rsid w:val="00C5263A"/>
    <w:rsid w:val="00C538F7"/>
    <w:rsid w:val="00C53F51"/>
    <w:rsid w:val="00C5429D"/>
    <w:rsid w:val="00C558B0"/>
    <w:rsid w:val="00C57433"/>
    <w:rsid w:val="00C60DC8"/>
    <w:rsid w:val="00C61A70"/>
    <w:rsid w:val="00C61EAE"/>
    <w:rsid w:val="00C62615"/>
    <w:rsid w:val="00C62B0B"/>
    <w:rsid w:val="00C63AFC"/>
    <w:rsid w:val="00C63DC5"/>
    <w:rsid w:val="00C63E5A"/>
    <w:rsid w:val="00C6483B"/>
    <w:rsid w:val="00C65854"/>
    <w:rsid w:val="00C65E3F"/>
    <w:rsid w:val="00C65F58"/>
    <w:rsid w:val="00C66C8D"/>
    <w:rsid w:val="00C66CD5"/>
    <w:rsid w:val="00C67052"/>
    <w:rsid w:val="00C67EF2"/>
    <w:rsid w:val="00C7004B"/>
    <w:rsid w:val="00C70591"/>
    <w:rsid w:val="00C70900"/>
    <w:rsid w:val="00C70F7E"/>
    <w:rsid w:val="00C72849"/>
    <w:rsid w:val="00C72898"/>
    <w:rsid w:val="00C72AB2"/>
    <w:rsid w:val="00C73483"/>
    <w:rsid w:val="00C73B6F"/>
    <w:rsid w:val="00C74005"/>
    <w:rsid w:val="00C74225"/>
    <w:rsid w:val="00C7444B"/>
    <w:rsid w:val="00C74874"/>
    <w:rsid w:val="00C765DA"/>
    <w:rsid w:val="00C76CD2"/>
    <w:rsid w:val="00C77041"/>
    <w:rsid w:val="00C773A3"/>
    <w:rsid w:val="00C773F8"/>
    <w:rsid w:val="00C77582"/>
    <w:rsid w:val="00C778BD"/>
    <w:rsid w:val="00C802E2"/>
    <w:rsid w:val="00C80A35"/>
    <w:rsid w:val="00C81B74"/>
    <w:rsid w:val="00C81CB8"/>
    <w:rsid w:val="00C825CC"/>
    <w:rsid w:val="00C82C05"/>
    <w:rsid w:val="00C8374F"/>
    <w:rsid w:val="00C83771"/>
    <w:rsid w:val="00C83D9A"/>
    <w:rsid w:val="00C83E3E"/>
    <w:rsid w:val="00C843F9"/>
    <w:rsid w:val="00C86312"/>
    <w:rsid w:val="00C871F3"/>
    <w:rsid w:val="00C87CC4"/>
    <w:rsid w:val="00C87D88"/>
    <w:rsid w:val="00C87E89"/>
    <w:rsid w:val="00C87ECE"/>
    <w:rsid w:val="00C90DE8"/>
    <w:rsid w:val="00C90E7E"/>
    <w:rsid w:val="00C90EC1"/>
    <w:rsid w:val="00C90F13"/>
    <w:rsid w:val="00C90FFF"/>
    <w:rsid w:val="00C911D2"/>
    <w:rsid w:val="00C91AA7"/>
    <w:rsid w:val="00C923EE"/>
    <w:rsid w:val="00C93C2B"/>
    <w:rsid w:val="00C93D04"/>
    <w:rsid w:val="00C93D0F"/>
    <w:rsid w:val="00C93DAC"/>
    <w:rsid w:val="00C93F65"/>
    <w:rsid w:val="00C94427"/>
    <w:rsid w:val="00C94B06"/>
    <w:rsid w:val="00C95251"/>
    <w:rsid w:val="00C956E8"/>
    <w:rsid w:val="00C959F6"/>
    <w:rsid w:val="00C95FE0"/>
    <w:rsid w:val="00C969FC"/>
    <w:rsid w:val="00C96C34"/>
    <w:rsid w:val="00C96D85"/>
    <w:rsid w:val="00C97590"/>
    <w:rsid w:val="00C97A95"/>
    <w:rsid w:val="00CA0772"/>
    <w:rsid w:val="00CA1C8D"/>
    <w:rsid w:val="00CA2830"/>
    <w:rsid w:val="00CA349E"/>
    <w:rsid w:val="00CA36D4"/>
    <w:rsid w:val="00CA4538"/>
    <w:rsid w:val="00CA504D"/>
    <w:rsid w:val="00CA5248"/>
    <w:rsid w:val="00CA530D"/>
    <w:rsid w:val="00CA54EF"/>
    <w:rsid w:val="00CA5910"/>
    <w:rsid w:val="00CA5A4A"/>
    <w:rsid w:val="00CA5FE6"/>
    <w:rsid w:val="00CA6360"/>
    <w:rsid w:val="00CA6364"/>
    <w:rsid w:val="00CA643B"/>
    <w:rsid w:val="00CA7031"/>
    <w:rsid w:val="00CA7939"/>
    <w:rsid w:val="00CA7965"/>
    <w:rsid w:val="00CA7C7F"/>
    <w:rsid w:val="00CB091D"/>
    <w:rsid w:val="00CB0C16"/>
    <w:rsid w:val="00CB0C67"/>
    <w:rsid w:val="00CB16F1"/>
    <w:rsid w:val="00CB17E2"/>
    <w:rsid w:val="00CB1E3E"/>
    <w:rsid w:val="00CB3571"/>
    <w:rsid w:val="00CB3E87"/>
    <w:rsid w:val="00CB4C4C"/>
    <w:rsid w:val="00CB4E94"/>
    <w:rsid w:val="00CB4ECF"/>
    <w:rsid w:val="00CB563C"/>
    <w:rsid w:val="00CB6857"/>
    <w:rsid w:val="00CB6D82"/>
    <w:rsid w:val="00CB70B3"/>
    <w:rsid w:val="00CB79C2"/>
    <w:rsid w:val="00CB7B3B"/>
    <w:rsid w:val="00CB7D9A"/>
    <w:rsid w:val="00CC0479"/>
    <w:rsid w:val="00CC0B6E"/>
    <w:rsid w:val="00CC0E71"/>
    <w:rsid w:val="00CC102D"/>
    <w:rsid w:val="00CC1326"/>
    <w:rsid w:val="00CC13B7"/>
    <w:rsid w:val="00CC1785"/>
    <w:rsid w:val="00CC282A"/>
    <w:rsid w:val="00CC3222"/>
    <w:rsid w:val="00CC35D6"/>
    <w:rsid w:val="00CC37C2"/>
    <w:rsid w:val="00CC3B8D"/>
    <w:rsid w:val="00CC3D66"/>
    <w:rsid w:val="00CC40D2"/>
    <w:rsid w:val="00CC4135"/>
    <w:rsid w:val="00CC673C"/>
    <w:rsid w:val="00CC6FB8"/>
    <w:rsid w:val="00CD0A12"/>
    <w:rsid w:val="00CD0A3E"/>
    <w:rsid w:val="00CD0AB0"/>
    <w:rsid w:val="00CD13E1"/>
    <w:rsid w:val="00CD1CB7"/>
    <w:rsid w:val="00CD1E96"/>
    <w:rsid w:val="00CD2048"/>
    <w:rsid w:val="00CD2744"/>
    <w:rsid w:val="00CD3082"/>
    <w:rsid w:val="00CD363A"/>
    <w:rsid w:val="00CD37F7"/>
    <w:rsid w:val="00CD4A03"/>
    <w:rsid w:val="00CD4B03"/>
    <w:rsid w:val="00CD562E"/>
    <w:rsid w:val="00CD66CF"/>
    <w:rsid w:val="00CD686C"/>
    <w:rsid w:val="00CD706F"/>
    <w:rsid w:val="00CD785F"/>
    <w:rsid w:val="00CD7B2A"/>
    <w:rsid w:val="00CD7CB3"/>
    <w:rsid w:val="00CE0588"/>
    <w:rsid w:val="00CE101E"/>
    <w:rsid w:val="00CE21C3"/>
    <w:rsid w:val="00CE2E61"/>
    <w:rsid w:val="00CE345D"/>
    <w:rsid w:val="00CE35BD"/>
    <w:rsid w:val="00CE45D2"/>
    <w:rsid w:val="00CE4ACA"/>
    <w:rsid w:val="00CE4F18"/>
    <w:rsid w:val="00CE57C4"/>
    <w:rsid w:val="00CE5808"/>
    <w:rsid w:val="00CE5E0C"/>
    <w:rsid w:val="00CE5E48"/>
    <w:rsid w:val="00CE67B1"/>
    <w:rsid w:val="00CE6B13"/>
    <w:rsid w:val="00CE7680"/>
    <w:rsid w:val="00CF042C"/>
    <w:rsid w:val="00CF04C9"/>
    <w:rsid w:val="00CF06FA"/>
    <w:rsid w:val="00CF090A"/>
    <w:rsid w:val="00CF1222"/>
    <w:rsid w:val="00CF2283"/>
    <w:rsid w:val="00CF257F"/>
    <w:rsid w:val="00CF2711"/>
    <w:rsid w:val="00CF28F8"/>
    <w:rsid w:val="00CF2A31"/>
    <w:rsid w:val="00CF4018"/>
    <w:rsid w:val="00CF4666"/>
    <w:rsid w:val="00CF4A7D"/>
    <w:rsid w:val="00CF512E"/>
    <w:rsid w:val="00CF5A65"/>
    <w:rsid w:val="00CF66F4"/>
    <w:rsid w:val="00CF71BC"/>
    <w:rsid w:val="00CF796D"/>
    <w:rsid w:val="00D01474"/>
    <w:rsid w:val="00D01D11"/>
    <w:rsid w:val="00D02225"/>
    <w:rsid w:val="00D02B21"/>
    <w:rsid w:val="00D02C89"/>
    <w:rsid w:val="00D0375B"/>
    <w:rsid w:val="00D03C3D"/>
    <w:rsid w:val="00D03F86"/>
    <w:rsid w:val="00D04036"/>
    <w:rsid w:val="00D041D5"/>
    <w:rsid w:val="00D04402"/>
    <w:rsid w:val="00D045BA"/>
    <w:rsid w:val="00D04FBD"/>
    <w:rsid w:val="00D051EF"/>
    <w:rsid w:val="00D052B5"/>
    <w:rsid w:val="00D05B21"/>
    <w:rsid w:val="00D05FCD"/>
    <w:rsid w:val="00D06250"/>
    <w:rsid w:val="00D06A0F"/>
    <w:rsid w:val="00D1004B"/>
    <w:rsid w:val="00D100C4"/>
    <w:rsid w:val="00D1076C"/>
    <w:rsid w:val="00D10A85"/>
    <w:rsid w:val="00D10FE5"/>
    <w:rsid w:val="00D11318"/>
    <w:rsid w:val="00D1175E"/>
    <w:rsid w:val="00D11E1A"/>
    <w:rsid w:val="00D122DB"/>
    <w:rsid w:val="00D12601"/>
    <w:rsid w:val="00D12CFF"/>
    <w:rsid w:val="00D14198"/>
    <w:rsid w:val="00D1521D"/>
    <w:rsid w:val="00D15D32"/>
    <w:rsid w:val="00D16236"/>
    <w:rsid w:val="00D16E11"/>
    <w:rsid w:val="00D16E91"/>
    <w:rsid w:val="00D17667"/>
    <w:rsid w:val="00D17BE6"/>
    <w:rsid w:val="00D17F94"/>
    <w:rsid w:val="00D207B1"/>
    <w:rsid w:val="00D20CBE"/>
    <w:rsid w:val="00D215EB"/>
    <w:rsid w:val="00D21DF5"/>
    <w:rsid w:val="00D224C6"/>
    <w:rsid w:val="00D22862"/>
    <w:rsid w:val="00D22C3D"/>
    <w:rsid w:val="00D23AAC"/>
    <w:rsid w:val="00D23FA6"/>
    <w:rsid w:val="00D241C4"/>
    <w:rsid w:val="00D24324"/>
    <w:rsid w:val="00D24CB8"/>
    <w:rsid w:val="00D265F7"/>
    <w:rsid w:val="00D2660D"/>
    <w:rsid w:val="00D2725A"/>
    <w:rsid w:val="00D274B6"/>
    <w:rsid w:val="00D30603"/>
    <w:rsid w:val="00D31B24"/>
    <w:rsid w:val="00D332EA"/>
    <w:rsid w:val="00D33321"/>
    <w:rsid w:val="00D336FA"/>
    <w:rsid w:val="00D33DF1"/>
    <w:rsid w:val="00D3451E"/>
    <w:rsid w:val="00D34CBA"/>
    <w:rsid w:val="00D34F2B"/>
    <w:rsid w:val="00D34F8B"/>
    <w:rsid w:val="00D36898"/>
    <w:rsid w:val="00D37AB7"/>
    <w:rsid w:val="00D4006A"/>
    <w:rsid w:val="00D40282"/>
    <w:rsid w:val="00D4078E"/>
    <w:rsid w:val="00D40E31"/>
    <w:rsid w:val="00D416BE"/>
    <w:rsid w:val="00D420E8"/>
    <w:rsid w:val="00D4242B"/>
    <w:rsid w:val="00D42687"/>
    <w:rsid w:val="00D42989"/>
    <w:rsid w:val="00D42F25"/>
    <w:rsid w:val="00D43BF9"/>
    <w:rsid w:val="00D43CF3"/>
    <w:rsid w:val="00D4454E"/>
    <w:rsid w:val="00D452C7"/>
    <w:rsid w:val="00D45455"/>
    <w:rsid w:val="00D45895"/>
    <w:rsid w:val="00D458A1"/>
    <w:rsid w:val="00D458DB"/>
    <w:rsid w:val="00D45BC2"/>
    <w:rsid w:val="00D45F0D"/>
    <w:rsid w:val="00D46739"/>
    <w:rsid w:val="00D46EF9"/>
    <w:rsid w:val="00D470C1"/>
    <w:rsid w:val="00D47FBC"/>
    <w:rsid w:val="00D50739"/>
    <w:rsid w:val="00D50DF8"/>
    <w:rsid w:val="00D515EE"/>
    <w:rsid w:val="00D51A90"/>
    <w:rsid w:val="00D52270"/>
    <w:rsid w:val="00D52490"/>
    <w:rsid w:val="00D52DA4"/>
    <w:rsid w:val="00D533E9"/>
    <w:rsid w:val="00D536D3"/>
    <w:rsid w:val="00D54B9F"/>
    <w:rsid w:val="00D55A13"/>
    <w:rsid w:val="00D55A54"/>
    <w:rsid w:val="00D55B6A"/>
    <w:rsid w:val="00D5609F"/>
    <w:rsid w:val="00D56EFC"/>
    <w:rsid w:val="00D57342"/>
    <w:rsid w:val="00D5746C"/>
    <w:rsid w:val="00D600B9"/>
    <w:rsid w:val="00D61508"/>
    <w:rsid w:val="00D62218"/>
    <w:rsid w:val="00D62336"/>
    <w:rsid w:val="00D62A8A"/>
    <w:rsid w:val="00D62E58"/>
    <w:rsid w:val="00D6329C"/>
    <w:rsid w:val="00D632B9"/>
    <w:rsid w:val="00D643E9"/>
    <w:rsid w:val="00D64745"/>
    <w:rsid w:val="00D6486C"/>
    <w:rsid w:val="00D64B08"/>
    <w:rsid w:val="00D650D0"/>
    <w:rsid w:val="00D6594F"/>
    <w:rsid w:val="00D65C0C"/>
    <w:rsid w:val="00D65D74"/>
    <w:rsid w:val="00D66190"/>
    <w:rsid w:val="00D66275"/>
    <w:rsid w:val="00D6699C"/>
    <w:rsid w:val="00D66C73"/>
    <w:rsid w:val="00D66D23"/>
    <w:rsid w:val="00D67A23"/>
    <w:rsid w:val="00D70618"/>
    <w:rsid w:val="00D7195B"/>
    <w:rsid w:val="00D71B4E"/>
    <w:rsid w:val="00D72CAF"/>
    <w:rsid w:val="00D72CBD"/>
    <w:rsid w:val="00D72E10"/>
    <w:rsid w:val="00D730D1"/>
    <w:rsid w:val="00D73BF2"/>
    <w:rsid w:val="00D742D1"/>
    <w:rsid w:val="00D744D1"/>
    <w:rsid w:val="00D75131"/>
    <w:rsid w:val="00D75309"/>
    <w:rsid w:val="00D75663"/>
    <w:rsid w:val="00D757AF"/>
    <w:rsid w:val="00D763A6"/>
    <w:rsid w:val="00D76ACE"/>
    <w:rsid w:val="00D770DE"/>
    <w:rsid w:val="00D774FE"/>
    <w:rsid w:val="00D7764B"/>
    <w:rsid w:val="00D77698"/>
    <w:rsid w:val="00D77DB4"/>
    <w:rsid w:val="00D77FC8"/>
    <w:rsid w:val="00D80534"/>
    <w:rsid w:val="00D80B89"/>
    <w:rsid w:val="00D81379"/>
    <w:rsid w:val="00D82D0F"/>
    <w:rsid w:val="00D836BF"/>
    <w:rsid w:val="00D8385B"/>
    <w:rsid w:val="00D838A5"/>
    <w:rsid w:val="00D83902"/>
    <w:rsid w:val="00D83FAA"/>
    <w:rsid w:val="00D84343"/>
    <w:rsid w:val="00D84E94"/>
    <w:rsid w:val="00D8503A"/>
    <w:rsid w:val="00D853DD"/>
    <w:rsid w:val="00D85916"/>
    <w:rsid w:val="00D85EC0"/>
    <w:rsid w:val="00D86C8A"/>
    <w:rsid w:val="00D87066"/>
    <w:rsid w:val="00D87CCF"/>
    <w:rsid w:val="00D9075C"/>
    <w:rsid w:val="00D916FC"/>
    <w:rsid w:val="00D9242B"/>
    <w:rsid w:val="00D92789"/>
    <w:rsid w:val="00D939DF"/>
    <w:rsid w:val="00D93CB8"/>
    <w:rsid w:val="00D93F1E"/>
    <w:rsid w:val="00D94009"/>
    <w:rsid w:val="00D9401D"/>
    <w:rsid w:val="00D9422E"/>
    <w:rsid w:val="00D947D7"/>
    <w:rsid w:val="00D94D9D"/>
    <w:rsid w:val="00D94DCB"/>
    <w:rsid w:val="00D952C9"/>
    <w:rsid w:val="00D95A0C"/>
    <w:rsid w:val="00D95DAF"/>
    <w:rsid w:val="00D962C1"/>
    <w:rsid w:val="00D96307"/>
    <w:rsid w:val="00D97155"/>
    <w:rsid w:val="00D971E9"/>
    <w:rsid w:val="00DA0133"/>
    <w:rsid w:val="00DA03ED"/>
    <w:rsid w:val="00DA063D"/>
    <w:rsid w:val="00DA1877"/>
    <w:rsid w:val="00DA1A9B"/>
    <w:rsid w:val="00DA2C22"/>
    <w:rsid w:val="00DA2C7A"/>
    <w:rsid w:val="00DA2E3E"/>
    <w:rsid w:val="00DA38F8"/>
    <w:rsid w:val="00DA3B39"/>
    <w:rsid w:val="00DA3CD2"/>
    <w:rsid w:val="00DA3D3B"/>
    <w:rsid w:val="00DA3DF4"/>
    <w:rsid w:val="00DA42B6"/>
    <w:rsid w:val="00DA4576"/>
    <w:rsid w:val="00DA495F"/>
    <w:rsid w:val="00DA5258"/>
    <w:rsid w:val="00DA665B"/>
    <w:rsid w:val="00DA6E0E"/>
    <w:rsid w:val="00DA6EB3"/>
    <w:rsid w:val="00DA712B"/>
    <w:rsid w:val="00DA7456"/>
    <w:rsid w:val="00DA7808"/>
    <w:rsid w:val="00DB0390"/>
    <w:rsid w:val="00DB0547"/>
    <w:rsid w:val="00DB13AB"/>
    <w:rsid w:val="00DB16E4"/>
    <w:rsid w:val="00DB2711"/>
    <w:rsid w:val="00DB3E50"/>
    <w:rsid w:val="00DB452C"/>
    <w:rsid w:val="00DB462F"/>
    <w:rsid w:val="00DB4768"/>
    <w:rsid w:val="00DB490E"/>
    <w:rsid w:val="00DB547B"/>
    <w:rsid w:val="00DB54C6"/>
    <w:rsid w:val="00DB580C"/>
    <w:rsid w:val="00DB59D1"/>
    <w:rsid w:val="00DB6018"/>
    <w:rsid w:val="00DB6399"/>
    <w:rsid w:val="00DB6649"/>
    <w:rsid w:val="00DB6E49"/>
    <w:rsid w:val="00DB789E"/>
    <w:rsid w:val="00DB7BA6"/>
    <w:rsid w:val="00DB7CEB"/>
    <w:rsid w:val="00DC00EE"/>
    <w:rsid w:val="00DC10D7"/>
    <w:rsid w:val="00DC12F7"/>
    <w:rsid w:val="00DC1838"/>
    <w:rsid w:val="00DC3592"/>
    <w:rsid w:val="00DC363C"/>
    <w:rsid w:val="00DC379F"/>
    <w:rsid w:val="00DC3DD2"/>
    <w:rsid w:val="00DC403F"/>
    <w:rsid w:val="00DC466F"/>
    <w:rsid w:val="00DC48E8"/>
    <w:rsid w:val="00DC5B4C"/>
    <w:rsid w:val="00DC5E78"/>
    <w:rsid w:val="00DC6141"/>
    <w:rsid w:val="00DD1B6B"/>
    <w:rsid w:val="00DD261E"/>
    <w:rsid w:val="00DD26A0"/>
    <w:rsid w:val="00DD31AD"/>
    <w:rsid w:val="00DD3AF1"/>
    <w:rsid w:val="00DD3B68"/>
    <w:rsid w:val="00DD3BBE"/>
    <w:rsid w:val="00DD4119"/>
    <w:rsid w:val="00DD4449"/>
    <w:rsid w:val="00DD45BE"/>
    <w:rsid w:val="00DD67BB"/>
    <w:rsid w:val="00DD6D6E"/>
    <w:rsid w:val="00DD6D75"/>
    <w:rsid w:val="00DD73DE"/>
    <w:rsid w:val="00DD7575"/>
    <w:rsid w:val="00DD776C"/>
    <w:rsid w:val="00DD7B5E"/>
    <w:rsid w:val="00DD7C18"/>
    <w:rsid w:val="00DD7C99"/>
    <w:rsid w:val="00DE0406"/>
    <w:rsid w:val="00DE06A9"/>
    <w:rsid w:val="00DE0B28"/>
    <w:rsid w:val="00DE1780"/>
    <w:rsid w:val="00DE1A48"/>
    <w:rsid w:val="00DE1CC4"/>
    <w:rsid w:val="00DE1F3D"/>
    <w:rsid w:val="00DE20F7"/>
    <w:rsid w:val="00DE25AD"/>
    <w:rsid w:val="00DE25DC"/>
    <w:rsid w:val="00DE33A1"/>
    <w:rsid w:val="00DE3852"/>
    <w:rsid w:val="00DE3F0D"/>
    <w:rsid w:val="00DE455B"/>
    <w:rsid w:val="00DE5118"/>
    <w:rsid w:val="00DE6032"/>
    <w:rsid w:val="00DE6543"/>
    <w:rsid w:val="00DE70B1"/>
    <w:rsid w:val="00DE71A6"/>
    <w:rsid w:val="00DE7EF6"/>
    <w:rsid w:val="00DF02B2"/>
    <w:rsid w:val="00DF09D9"/>
    <w:rsid w:val="00DF14BB"/>
    <w:rsid w:val="00DF1C88"/>
    <w:rsid w:val="00DF2631"/>
    <w:rsid w:val="00DF2939"/>
    <w:rsid w:val="00DF2ACC"/>
    <w:rsid w:val="00DF2CA7"/>
    <w:rsid w:val="00DF41C5"/>
    <w:rsid w:val="00DF4586"/>
    <w:rsid w:val="00DF466E"/>
    <w:rsid w:val="00DF54F9"/>
    <w:rsid w:val="00DF581E"/>
    <w:rsid w:val="00DF5B3B"/>
    <w:rsid w:val="00DF6162"/>
    <w:rsid w:val="00DF6CC5"/>
    <w:rsid w:val="00DF73BC"/>
    <w:rsid w:val="00DF7703"/>
    <w:rsid w:val="00DF7B7F"/>
    <w:rsid w:val="00E00C08"/>
    <w:rsid w:val="00E01763"/>
    <w:rsid w:val="00E02C63"/>
    <w:rsid w:val="00E03224"/>
    <w:rsid w:val="00E038E9"/>
    <w:rsid w:val="00E04440"/>
    <w:rsid w:val="00E04B6B"/>
    <w:rsid w:val="00E04BE0"/>
    <w:rsid w:val="00E07543"/>
    <w:rsid w:val="00E10405"/>
    <w:rsid w:val="00E11591"/>
    <w:rsid w:val="00E129DB"/>
    <w:rsid w:val="00E12AD6"/>
    <w:rsid w:val="00E130E0"/>
    <w:rsid w:val="00E13468"/>
    <w:rsid w:val="00E137DD"/>
    <w:rsid w:val="00E137E4"/>
    <w:rsid w:val="00E13815"/>
    <w:rsid w:val="00E13D93"/>
    <w:rsid w:val="00E149AE"/>
    <w:rsid w:val="00E14AC4"/>
    <w:rsid w:val="00E15774"/>
    <w:rsid w:val="00E158F9"/>
    <w:rsid w:val="00E15F94"/>
    <w:rsid w:val="00E163E6"/>
    <w:rsid w:val="00E166BD"/>
    <w:rsid w:val="00E170FD"/>
    <w:rsid w:val="00E172B5"/>
    <w:rsid w:val="00E1779D"/>
    <w:rsid w:val="00E20007"/>
    <w:rsid w:val="00E203A2"/>
    <w:rsid w:val="00E2085B"/>
    <w:rsid w:val="00E20A14"/>
    <w:rsid w:val="00E20D75"/>
    <w:rsid w:val="00E20F43"/>
    <w:rsid w:val="00E213C3"/>
    <w:rsid w:val="00E21531"/>
    <w:rsid w:val="00E22A84"/>
    <w:rsid w:val="00E22FA4"/>
    <w:rsid w:val="00E23652"/>
    <w:rsid w:val="00E23B2C"/>
    <w:rsid w:val="00E23CCE"/>
    <w:rsid w:val="00E240A8"/>
    <w:rsid w:val="00E244C6"/>
    <w:rsid w:val="00E250F6"/>
    <w:rsid w:val="00E25816"/>
    <w:rsid w:val="00E25CB3"/>
    <w:rsid w:val="00E25D53"/>
    <w:rsid w:val="00E25E35"/>
    <w:rsid w:val="00E26C66"/>
    <w:rsid w:val="00E26DCC"/>
    <w:rsid w:val="00E26FF9"/>
    <w:rsid w:val="00E279F1"/>
    <w:rsid w:val="00E30523"/>
    <w:rsid w:val="00E30B20"/>
    <w:rsid w:val="00E3123A"/>
    <w:rsid w:val="00E316C2"/>
    <w:rsid w:val="00E3278E"/>
    <w:rsid w:val="00E32B87"/>
    <w:rsid w:val="00E32F55"/>
    <w:rsid w:val="00E33DD4"/>
    <w:rsid w:val="00E33E8A"/>
    <w:rsid w:val="00E33EA5"/>
    <w:rsid w:val="00E33F27"/>
    <w:rsid w:val="00E3437D"/>
    <w:rsid w:val="00E35512"/>
    <w:rsid w:val="00E35AAA"/>
    <w:rsid w:val="00E36081"/>
    <w:rsid w:val="00E361C9"/>
    <w:rsid w:val="00E36622"/>
    <w:rsid w:val="00E36E28"/>
    <w:rsid w:val="00E36FC0"/>
    <w:rsid w:val="00E37582"/>
    <w:rsid w:val="00E37B89"/>
    <w:rsid w:val="00E40E48"/>
    <w:rsid w:val="00E40F07"/>
    <w:rsid w:val="00E411FD"/>
    <w:rsid w:val="00E41500"/>
    <w:rsid w:val="00E41A21"/>
    <w:rsid w:val="00E41A60"/>
    <w:rsid w:val="00E42494"/>
    <w:rsid w:val="00E42BC7"/>
    <w:rsid w:val="00E42EF0"/>
    <w:rsid w:val="00E433F6"/>
    <w:rsid w:val="00E4368A"/>
    <w:rsid w:val="00E443E6"/>
    <w:rsid w:val="00E44938"/>
    <w:rsid w:val="00E449DA"/>
    <w:rsid w:val="00E44A9B"/>
    <w:rsid w:val="00E452B0"/>
    <w:rsid w:val="00E45D3E"/>
    <w:rsid w:val="00E461CE"/>
    <w:rsid w:val="00E4662B"/>
    <w:rsid w:val="00E467D6"/>
    <w:rsid w:val="00E473E8"/>
    <w:rsid w:val="00E474E4"/>
    <w:rsid w:val="00E47DE6"/>
    <w:rsid w:val="00E47E7C"/>
    <w:rsid w:val="00E503DE"/>
    <w:rsid w:val="00E50590"/>
    <w:rsid w:val="00E50C74"/>
    <w:rsid w:val="00E50E8C"/>
    <w:rsid w:val="00E51D5D"/>
    <w:rsid w:val="00E52FC5"/>
    <w:rsid w:val="00E532F5"/>
    <w:rsid w:val="00E535EE"/>
    <w:rsid w:val="00E53F4B"/>
    <w:rsid w:val="00E5498E"/>
    <w:rsid w:val="00E55831"/>
    <w:rsid w:val="00E55BA4"/>
    <w:rsid w:val="00E55DFB"/>
    <w:rsid w:val="00E56820"/>
    <w:rsid w:val="00E56DA0"/>
    <w:rsid w:val="00E5714A"/>
    <w:rsid w:val="00E57B40"/>
    <w:rsid w:val="00E57C49"/>
    <w:rsid w:val="00E57D27"/>
    <w:rsid w:val="00E60468"/>
    <w:rsid w:val="00E60591"/>
    <w:rsid w:val="00E60DD1"/>
    <w:rsid w:val="00E61382"/>
    <w:rsid w:val="00E61C1A"/>
    <w:rsid w:val="00E6219F"/>
    <w:rsid w:val="00E625BB"/>
    <w:rsid w:val="00E62655"/>
    <w:rsid w:val="00E62A9A"/>
    <w:rsid w:val="00E6356C"/>
    <w:rsid w:val="00E6369C"/>
    <w:rsid w:val="00E64040"/>
    <w:rsid w:val="00E642C0"/>
    <w:rsid w:val="00E652B1"/>
    <w:rsid w:val="00E6685E"/>
    <w:rsid w:val="00E671D1"/>
    <w:rsid w:val="00E671D9"/>
    <w:rsid w:val="00E6729F"/>
    <w:rsid w:val="00E678CD"/>
    <w:rsid w:val="00E679D9"/>
    <w:rsid w:val="00E67A3D"/>
    <w:rsid w:val="00E67F3A"/>
    <w:rsid w:val="00E702A2"/>
    <w:rsid w:val="00E7146E"/>
    <w:rsid w:val="00E71929"/>
    <w:rsid w:val="00E719A6"/>
    <w:rsid w:val="00E71B2A"/>
    <w:rsid w:val="00E71F31"/>
    <w:rsid w:val="00E722DD"/>
    <w:rsid w:val="00E72AD6"/>
    <w:rsid w:val="00E72C73"/>
    <w:rsid w:val="00E731AF"/>
    <w:rsid w:val="00E73DD5"/>
    <w:rsid w:val="00E73E6E"/>
    <w:rsid w:val="00E73F86"/>
    <w:rsid w:val="00E7480C"/>
    <w:rsid w:val="00E74CC7"/>
    <w:rsid w:val="00E75AC0"/>
    <w:rsid w:val="00E76516"/>
    <w:rsid w:val="00E76C13"/>
    <w:rsid w:val="00E77426"/>
    <w:rsid w:val="00E77ED7"/>
    <w:rsid w:val="00E77FAA"/>
    <w:rsid w:val="00E80263"/>
    <w:rsid w:val="00E809AD"/>
    <w:rsid w:val="00E814B6"/>
    <w:rsid w:val="00E82446"/>
    <w:rsid w:val="00E832D0"/>
    <w:rsid w:val="00E838E0"/>
    <w:rsid w:val="00E8461B"/>
    <w:rsid w:val="00E84B63"/>
    <w:rsid w:val="00E84D4E"/>
    <w:rsid w:val="00E8511F"/>
    <w:rsid w:val="00E85A59"/>
    <w:rsid w:val="00E85B25"/>
    <w:rsid w:val="00E85EA4"/>
    <w:rsid w:val="00E86550"/>
    <w:rsid w:val="00E86C0E"/>
    <w:rsid w:val="00E8763B"/>
    <w:rsid w:val="00E877E5"/>
    <w:rsid w:val="00E906D5"/>
    <w:rsid w:val="00E90786"/>
    <w:rsid w:val="00E90848"/>
    <w:rsid w:val="00E908AA"/>
    <w:rsid w:val="00E909BD"/>
    <w:rsid w:val="00E90DE6"/>
    <w:rsid w:val="00E9137C"/>
    <w:rsid w:val="00E92768"/>
    <w:rsid w:val="00E932E2"/>
    <w:rsid w:val="00E945CC"/>
    <w:rsid w:val="00E94901"/>
    <w:rsid w:val="00E94BEC"/>
    <w:rsid w:val="00E961A6"/>
    <w:rsid w:val="00E965B5"/>
    <w:rsid w:val="00E9675D"/>
    <w:rsid w:val="00E9757F"/>
    <w:rsid w:val="00E9759C"/>
    <w:rsid w:val="00E97AED"/>
    <w:rsid w:val="00E97D51"/>
    <w:rsid w:val="00E97FF3"/>
    <w:rsid w:val="00EA05B4"/>
    <w:rsid w:val="00EA1255"/>
    <w:rsid w:val="00EA17B3"/>
    <w:rsid w:val="00EA1875"/>
    <w:rsid w:val="00EA1F50"/>
    <w:rsid w:val="00EA2181"/>
    <w:rsid w:val="00EA23BE"/>
    <w:rsid w:val="00EA2421"/>
    <w:rsid w:val="00EA2460"/>
    <w:rsid w:val="00EA28AE"/>
    <w:rsid w:val="00EA33E7"/>
    <w:rsid w:val="00EA371D"/>
    <w:rsid w:val="00EA3CF0"/>
    <w:rsid w:val="00EA406A"/>
    <w:rsid w:val="00EA4A6D"/>
    <w:rsid w:val="00EA57A0"/>
    <w:rsid w:val="00EA5BC4"/>
    <w:rsid w:val="00EA5D63"/>
    <w:rsid w:val="00EA5E78"/>
    <w:rsid w:val="00EA650E"/>
    <w:rsid w:val="00EB0190"/>
    <w:rsid w:val="00EB025C"/>
    <w:rsid w:val="00EB06A0"/>
    <w:rsid w:val="00EB1533"/>
    <w:rsid w:val="00EB2B60"/>
    <w:rsid w:val="00EB341A"/>
    <w:rsid w:val="00EB3493"/>
    <w:rsid w:val="00EB3E92"/>
    <w:rsid w:val="00EB41A0"/>
    <w:rsid w:val="00EB6834"/>
    <w:rsid w:val="00EB6859"/>
    <w:rsid w:val="00EB6995"/>
    <w:rsid w:val="00EC1200"/>
    <w:rsid w:val="00EC136A"/>
    <w:rsid w:val="00EC1980"/>
    <w:rsid w:val="00EC2379"/>
    <w:rsid w:val="00EC3329"/>
    <w:rsid w:val="00EC3751"/>
    <w:rsid w:val="00EC3CCE"/>
    <w:rsid w:val="00EC3E5D"/>
    <w:rsid w:val="00EC48E0"/>
    <w:rsid w:val="00EC48E7"/>
    <w:rsid w:val="00EC4A18"/>
    <w:rsid w:val="00EC4E44"/>
    <w:rsid w:val="00EC51B9"/>
    <w:rsid w:val="00EC5B02"/>
    <w:rsid w:val="00EC67C3"/>
    <w:rsid w:val="00EC7257"/>
    <w:rsid w:val="00ED01FD"/>
    <w:rsid w:val="00ED1380"/>
    <w:rsid w:val="00ED1729"/>
    <w:rsid w:val="00ED1871"/>
    <w:rsid w:val="00ED2641"/>
    <w:rsid w:val="00ED2653"/>
    <w:rsid w:val="00ED26C6"/>
    <w:rsid w:val="00ED28D9"/>
    <w:rsid w:val="00ED3584"/>
    <w:rsid w:val="00ED3FAD"/>
    <w:rsid w:val="00ED4546"/>
    <w:rsid w:val="00ED4988"/>
    <w:rsid w:val="00ED5294"/>
    <w:rsid w:val="00ED7962"/>
    <w:rsid w:val="00ED7EEA"/>
    <w:rsid w:val="00EE09C1"/>
    <w:rsid w:val="00EE0C44"/>
    <w:rsid w:val="00EE106D"/>
    <w:rsid w:val="00EE1F65"/>
    <w:rsid w:val="00EE3BDB"/>
    <w:rsid w:val="00EE3BF4"/>
    <w:rsid w:val="00EE4A8A"/>
    <w:rsid w:val="00EE4B56"/>
    <w:rsid w:val="00EE4FFB"/>
    <w:rsid w:val="00EE5B06"/>
    <w:rsid w:val="00EE5D0B"/>
    <w:rsid w:val="00EE611F"/>
    <w:rsid w:val="00EE6208"/>
    <w:rsid w:val="00EE657A"/>
    <w:rsid w:val="00EE6752"/>
    <w:rsid w:val="00EE6A7B"/>
    <w:rsid w:val="00EE6CD5"/>
    <w:rsid w:val="00EE77B1"/>
    <w:rsid w:val="00EE7C18"/>
    <w:rsid w:val="00EE7C25"/>
    <w:rsid w:val="00EF0101"/>
    <w:rsid w:val="00EF02D7"/>
    <w:rsid w:val="00EF0A3F"/>
    <w:rsid w:val="00EF0B8C"/>
    <w:rsid w:val="00EF0BF8"/>
    <w:rsid w:val="00EF0C2E"/>
    <w:rsid w:val="00EF0ED8"/>
    <w:rsid w:val="00EF18BE"/>
    <w:rsid w:val="00EF1AA6"/>
    <w:rsid w:val="00EF2EBE"/>
    <w:rsid w:val="00EF3369"/>
    <w:rsid w:val="00EF4F9C"/>
    <w:rsid w:val="00EF538F"/>
    <w:rsid w:val="00EF6297"/>
    <w:rsid w:val="00EF6BA9"/>
    <w:rsid w:val="00EF7DEF"/>
    <w:rsid w:val="00F01396"/>
    <w:rsid w:val="00F01E39"/>
    <w:rsid w:val="00F02216"/>
    <w:rsid w:val="00F02A06"/>
    <w:rsid w:val="00F0365F"/>
    <w:rsid w:val="00F03856"/>
    <w:rsid w:val="00F039FC"/>
    <w:rsid w:val="00F05461"/>
    <w:rsid w:val="00F059D0"/>
    <w:rsid w:val="00F06A4F"/>
    <w:rsid w:val="00F07448"/>
    <w:rsid w:val="00F0793A"/>
    <w:rsid w:val="00F10BFF"/>
    <w:rsid w:val="00F11789"/>
    <w:rsid w:val="00F12673"/>
    <w:rsid w:val="00F12BE6"/>
    <w:rsid w:val="00F12C9A"/>
    <w:rsid w:val="00F13BC3"/>
    <w:rsid w:val="00F13C12"/>
    <w:rsid w:val="00F14628"/>
    <w:rsid w:val="00F149A9"/>
    <w:rsid w:val="00F1556F"/>
    <w:rsid w:val="00F15A5C"/>
    <w:rsid w:val="00F160BB"/>
    <w:rsid w:val="00F1635D"/>
    <w:rsid w:val="00F1739E"/>
    <w:rsid w:val="00F176F7"/>
    <w:rsid w:val="00F17717"/>
    <w:rsid w:val="00F200EF"/>
    <w:rsid w:val="00F209AC"/>
    <w:rsid w:val="00F21EEC"/>
    <w:rsid w:val="00F223E0"/>
    <w:rsid w:val="00F22802"/>
    <w:rsid w:val="00F233BD"/>
    <w:rsid w:val="00F23460"/>
    <w:rsid w:val="00F2353C"/>
    <w:rsid w:val="00F23D1E"/>
    <w:rsid w:val="00F24147"/>
    <w:rsid w:val="00F24737"/>
    <w:rsid w:val="00F24A0F"/>
    <w:rsid w:val="00F26B31"/>
    <w:rsid w:val="00F26DEA"/>
    <w:rsid w:val="00F2793C"/>
    <w:rsid w:val="00F27C57"/>
    <w:rsid w:val="00F27DE2"/>
    <w:rsid w:val="00F308B8"/>
    <w:rsid w:val="00F30AE2"/>
    <w:rsid w:val="00F30C23"/>
    <w:rsid w:val="00F325F3"/>
    <w:rsid w:val="00F330F0"/>
    <w:rsid w:val="00F33366"/>
    <w:rsid w:val="00F33708"/>
    <w:rsid w:val="00F33CBF"/>
    <w:rsid w:val="00F340FB"/>
    <w:rsid w:val="00F3418D"/>
    <w:rsid w:val="00F353AC"/>
    <w:rsid w:val="00F35885"/>
    <w:rsid w:val="00F35887"/>
    <w:rsid w:val="00F35F0E"/>
    <w:rsid w:val="00F361EB"/>
    <w:rsid w:val="00F3664F"/>
    <w:rsid w:val="00F36CE2"/>
    <w:rsid w:val="00F36D7D"/>
    <w:rsid w:val="00F3739F"/>
    <w:rsid w:val="00F3788E"/>
    <w:rsid w:val="00F37F8F"/>
    <w:rsid w:val="00F40133"/>
    <w:rsid w:val="00F40867"/>
    <w:rsid w:val="00F40A85"/>
    <w:rsid w:val="00F41072"/>
    <w:rsid w:val="00F4148F"/>
    <w:rsid w:val="00F41A9B"/>
    <w:rsid w:val="00F41DBD"/>
    <w:rsid w:val="00F41FA0"/>
    <w:rsid w:val="00F43AC5"/>
    <w:rsid w:val="00F43C52"/>
    <w:rsid w:val="00F43ED7"/>
    <w:rsid w:val="00F45176"/>
    <w:rsid w:val="00F463D1"/>
    <w:rsid w:val="00F479EA"/>
    <w:rsid w:val="00F5072B"/>
    <w:rsid w:val="00F5186A"/>
    <w:rsid w:val="00F519AE"/>
    <w:rsid w:val="00F51EE5"/>
    <w:rsid w:val="00F5237C"/>
    <w:rsid w:val="00F529FE"/>
    <w:rsid w:val="00F52BF8"/>
    <w:rsid w:val="00F52FAD"/>
    <w:rsid w:val="00F536DC"/>
    <w:rsid w:val="00F53B74"/>
    <w:rsid w:val="00F53B9B"/>
    <w:rsid w:val="00F53E17"/>
    <w:rsid w:val="00F541E8"/>
    <w:rsid w:val="00F54C08"/>
    <w:rsid w:val="00F56057"/>
    <w:rsid w:val="00F563A5"/>
    <w:rsid w:val="00F60475"/>
    <w:rsid w:val="00F60CCC"/>
    <w:rsid w:val="00F6147B"/>
    <w:rsid w:val="00F629E0"/>
    <w:rsid w:val="00F633BF"/>
    <w:rsid w:val="00F63B9B"/>
    <w:rsid w:val="00F640C1"/>
    <w:rsid w:val="00F65134"/>
    <w:rsid w:val="00F65536"/>
    <w:rsid w:val="00F658DD"/>
    <w:rsid w:val="00F65975"/>
    <w:rsid w:val="00F660DC"/>
    <w:rsid w:val="00F66152"/>
    <w:rsid w:val="00F6651A"/>
    <w:rsid w:val="00F67645"/>
    <w:rsid w:val="00F70127"/>
    <w:rsid w:val="00F70334"/>
    <w:rsid w:val="00F7154B"/>
    <w:rsid w:val="00F722A3"/>
    <w:rsid w:val="00F7320D"/>
    <w:rsid w:val="00F73554"/>
    <w:rsid w:val="00F73BF1"/>
    <w:rsid w:val="00F740FF"/>
    <w:rsid w:val="00F743E3"/>
    <w:rsid w:val="00F746C3"/>
    <w:rsid w:val="00F74B55"/>
    <w:rsid w:val="00F74DD3"/>
    <w:rsid w:val="00F74F59"/>
    <w:rsid w:val="00F7582B"/>
    <w:rsid w:val="00F768CC"/>
    <w:rsid w:val="00F76ACA"/>
    <w:rsid w:val="00F76C4E"/>
    <w:rsid w:val="00F76D6B"/>
    <w:rsid w:val="00F76DB0"/>
    <w:rsid w:val="00F772F6"/>
    <w:rsid w:val="00F77A53"/>
    <w:rsid w:val="00F80C56"/>
    <w:rsid w:val="00F8123E"/>
    <w:rsid w:val="00F813FC"/>
    <w:rsid w:val="00F814AB"/>
    <w:rsid w:val="00F81C18"/>
    <w:rsid w:val="00F82C33"/>
    <w:rsid w:val="00F834CC"/>
    <w:rsid w:val="00F835A9"/>
    <w:rsid w:val="00F83A58"/>
    <w:rsid w:val="00F83B27"/>
    <w:rsid w:val="00F83C3C"/>
    <w:rsid w:val="00F83E28"/>
    <w:rsid w:val="00F840FC"/>
    <w:rsid w:val="00F84388"/>
    <w:rsid w:val="00F8497F"/>
    <w:rsid w:val="00F84994"/>
    <w:rsid w:val="00F85161"/>
    <w:rsid w:val="00F85502"/>
    <w:rsid w:val="00F856E0"/>
    <w:rsid w:val="00F857AD"/>
    <w:rsid w:val="00F85F0F"/>
    <w:rsid w:val="00F90789"/>
    <w:rsid w:val="00F929E5"/>
    <w:rsid w:val="00F92C05"/>
    <w:rsid w:val="00F9357B"/>
    <w:rsid w:val="00F9380D"/>
    <w:rsid w:val="00F9468B"/>
    <w:rsid w:val="00F9486D"/>
    <w:rsid w:val="00F94B4B"/>
    <w:rsid w:val="00F95012"/>
    <w:rsid w:val="00F95BB2"/>
    <w:rsid w:val="00F9650B"/>
    <w:rsid w:val="00F97816"/>
    <w:rsid w:val="00F97A93"/>
    <w:rsid w:val="00FA0756"/>
    <w:rsid w:val="00FA175F"/>
    <w:rsid w:val="00FA24A0"/>
    <w:rsid w:val="00FA3910"/>
    <w:rsid w:val="00FA3BF9"/>
    <w:rsid w:val="00FA46DF"/>
    <w:rsid w:val="00FA4912"/>
    <w:rsid w:val="00FA49E1"/>
    <w:rsid w:val="00FA55D4"/>
    <w:rsid w:val="00FA5701"/>
    <w:rsid w:val="00FA5765"/>
    <w:rsid w:val="00FA611A"/>
    <w:rsid w:val="00FA655D"/>
    <w:rsid w:val="00FA6B03"/>
    <w:rsid w:val="00FA7177"/>
    <w:rsid w:val="00FA71C9"/>
    <w:rsid w:val="00FA7CE9"/>
    <w:rsid w:val="00FA7F5E"/>
    <w:rsid w:val="00FB09C4"/>
    <w:rsid w:val="00FB0CDF"/>
    <w:rsid w:val="00FB10A9"/>
    <w:rsid w:val="00FB1A61"/>
    <w:rsid w:val="00FB2699"/>
    <w:rsid w:val="00FB3110"/>
    <w:rsid w:val="00FB340C"/>
    <w:rsid w:val="00FB589A"/>
    <w:rsid w:val="00FB5A67"/>
    <w:rsid w:val="00FB6BEA"/>
    <w:rsid w:val="00FB79EF"/>
    <w:rsid w:val="00FC0ED8"/>
    <w:rsid w:val="00FC1744"/>
    <w:rsid w:val="00FC1A02"/>
    <w:rsid w:val="00FC1BCF"/>
    <w:rsid w:val="00FC1FCC"/>
    <w:rsid w:val="00FC28F2"/>
    <w:rsid w:val="00FC2A50"/>
    <w:rsid w:val="00FC2E29"/>
    <w:rsid w:val="00FC33FD"/>
    <w:rsid w:val="00FC3549"/>
    <w:rsid w:val="00FC3773"/>
    <w:rsid w:val="00FC4932"/>
    <w:rsid w:val="00FC4D7F"/>
    <w:rsid w:val="00FC563E"/>
    <w:rsid w:val="00FC5CF9"/>
    <w:rsid w:val="00FC60B1"/>
    <w:rsid w:val="00FC6401"/>
    <w:rsid w:val="00FC6A03"/>
    <w:rsid w:val="00FC6A49"/>
    <w:rsid w:val="00FC6EB0"/>
    <w:rsid w:val="00FC7B34"/>
    <w:rsid w:val="00FC7B85"/>
    <w:rsid w:val="00FD0ECA"/>
    <w:rsid w:val="00FD128C"/>
    <w:rsid w:val="00FD12C0"/>
    <w:rsid w:val="00FD1D49"/>
    <w:rsid w:val="00FD2020"/>
    <w:rsid w:val="00FD2658"/>
    <w:rsid w:val="00FD2733"/>
    <w:rsid w:val="00FD3068"/>
    <w:rsid w:val="00FD5386"/>
    <w:rsid w:val="00FD5B1C"/>
    <w:rsid w:val="00FD6281"/>
    <w:rsid w:val="00FD672F"/>
    <w:rsid w:val="00FD6D9E"/>
    <w:rsid w:val="00FD7028"/>
    <w:rsid w:val="00FD754F"/>
    <w:rsid w:val="00FD76CC"/>
    <w:rsid w:val="00FE0AB0"/>
    <w:rsid w:val="00FE1088"/>
    <w:rsid w:val="00FE220A"/>
    <w:rsid w:val="00FE2630"/>
    <w:rsid w:val="00FE298F"/>
    <w:rsid w:val="00FE3983"/>
    <w:rsid w:val="00FE4E6F"/>
    <w:rsid w:val="00FE4F8B"/>
    <w:rsid w:val="00FE63C2"/>
    <w:rsid w:val="00FE668F"/>
    <w:rsid w:val="00FE7112"/>
    <w:rsid w:val="00FF0AEB"/>
    <w:rsid w:val="00FF12BA"/>
    <w:rsid w:val="00FF12D1"/>
    <w:rsid w:val="00FF1793"/>
    <w:rsid w:val="00FF2DFA"/>
    <w:rsid w:val="00FF4762"/>
    <w:rsid w:val="00FF506F"/>
    <w:rsid w:val="00FF5DDB"/>
    <w:rsid w:val="00FF68ED"/>
    <w:rsid w:val="00FF6A29"/>
    <w:rsid w:val="00FF6BD6"/>
    <w:rsid w:val="00FF6C49"/>
    <w:rsid w:val="00FF7762"/>
    <w:rsid w:val="047F50B9"/>
    <w:rsid w:val="05A7D9BB"/>
    <w:rsid w:val="10F2958D"/>
    <w:rsid w:val="119AA819"/>
    <w:rsid w:val="145A784E"/>
    <w:rsid w:val="1525A275"/>
    <w:rsid w:val="1CCAD072"/>
    <w:rsid w:val="1F24350B"/>
    <w:rsid w:val="20131712"/>
    <w:rsid w:val="23C25BBA"/>
    <w:rsid w:val="2400E666"/>
    <w:rsid w:val="31D6E218"/>
    <w:rsid w:val="32C3F201"/>
    <w:rsid w:val="33068A2B"/>
    <w:rsid w:val="3B2FB95D"/>
    <w:rsid w:val="4DC19619"/>
    <w:rsid w:val="52097D3F"/>
    <w:rsid w:val="5543B764"/>
    <w:rsid w:val="5689FA68"/>
    <w:rsid w:val="5D96F85A"/>
    <w:rsid w:val="5F027C32"/>
    <w:rsid w:val="612BD756"/>
    <w:rsid w:val="64DB4459"/>
    <w:rsid w:val="6595D8EA"/>
    <w:rsid w:val="66078D77"/>
    <w:rsid w:val="6A085380"/>
    <w:rsid w:val="6ADA324A"/>
    <w:rsid w:val="6D276AEB"/>
    <w:rsid w:val="6D6D8F1E"/>
    <w:rsid w:val="6F1D2599"/>
    <w:rsid w:val="6FD4666E"/>
    <w:rsid w:val="79E974F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CC6202"/>
  <w15:docId w15:val="{8C3F94E6-BA09-4C03-A8B5-81DB528CC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BAE"/>
    <w:pPr>
      <w:spacing w:after="0" w:line="360" w:lineRule="auto"/>
    </w:pPr>
    <w:rPr>
      <w:rFonts w:ascii="Arial" w:eastAsia="Times New Roman" w:hAnsi="Arial" w:cs="Times New Roman"/>
      <w:szCs w:val="20"/>
      <w:lang w:val="en-GB" w:eastAsia="en-GB"/>
    </w:rPr>
  </w:style>
  <w:style w:type="paragraph" w:styleId="Heading1">
    <w:name w:val="heading 1"/>
    <w:basedOn w:val="Normal"/>
    <w:next w:val="Normal"/>
    <w:link w:val="Heading1Char"/>
    <w:uiPriority w:val="9"/>
    <w:qFormat/>
    <w:rsid w:val="00700C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00C3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722D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00C38"/>
    <w:pPr>
      <w:tabs>
        <w:tab w:val="center" w:pos="4536"/>
        <w:tab w:val="right" w:pos="9072"/>
      </w:tabs>
    </w:pPr>
    <w:rPr>
      <w:snapToGrid w:val="0"/>
      <w:sz w:val="20"/>
      <w:lang w:eastAsia="en-US"/>
    </w:rPr>
  </w:style>
  <w:style w:type="character" w:customStyle="1" w:styleId="FooterChar">
    <w:name w:val="Footer Char"/>
    <w:basedOn w:val="DefaultParagraphFont"/>
    <w:link w:val="Footer"/>
    <w:uiPriority w:val="99"/>
    <w:rsid w:val="00700C38"/>
    <w:rPr>
      <w:rFonts w:ascii="Arial" w:eastAsia="Times New Roman" w:hAnsi="Arial" w:cs="Times New Roman"/>
      <w:snapToGrid w:val="0"/>
      <w:sz w:val="20"/>
      <w:szCs w:val="20"/>
      <w:lang w:val="en-GB"/>
    </w:rPr>
  </w:style>
  <w:style w:type="paragraph" w:customStyle="1" w:styleId="Instructions">
    <w:name w:val="Instructions"/>
    <w:basedOn w:val="Normal"/>
    <w:next w:val="Text"/>
    <w:link w:val="InstructionsChar"/>
    <w:rsid w:val="00700C38"/>
    <w:rPr>
      <w:rFonts w:cs="Arial"/>
      <w:bCs/>
      <w:i/>
      <w:iCs/>
      <w:sz w:val="20"/>
    </w:rPr>
  </w:style>
  <w:style w:type="character" w:styleId="PageNumber">
    <w:name w:val="page number"/>
    <w:basedOn w:val="DefaultParagraphFont"/>
    <w:rsid w:val="00700C38"/>
    <w:rPr>
      <w:rFonts w:ascii="Arial" w:hAnsi="Arial"/>
      <w:sz w:val="20"/>
    </w:rPr>
  </w:style>
  <w:style w:type="numbering" w:customStyle="1" w:styleId="Bulletlist">
    <w:name w:val="Bullet list"/>
    <w:basedOn w:val="NoList"/>
    <w:rsid w:val="00700C38"/>
    <w:pPr>
      <w:numPr>
        <w:numId w:val="1"/>
      </w:numPr>
    </w:pPr>
  </w:style>
  <w:style w:type="paragraph" w:customStyle="1" w:styleId="Text">
    <w:name w:val="Text"/>
    <w:basedOn w:val="Normal"/>
    <w:link w:val="TextChar"/>
    <w:rsid w:val="00700C38"/>
    <w:rPr>
      <w:lang w:eastAsia="en-US"/>
    </w:rPr>
  </w:style>
  <w:style w:type="table" w:styleId="TableGrid">
    <w:name w:val="Table Grid"/>
    <w:basedOn w:val="TableNormal"/>
    <w:rsid w:val="00700C38"/>
    <w:pPr>
      <w:spacing w:after="0" w:line="240" w:lineRule="auto"/>
    </w:pPr>
    <w:rPr>
      <w:rFonts w:ascii="Arial" w:eastAsia="Times New Roman" w:hAnsi="Arial" w:cs="Times New Roman"/>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rPr>
      <w:jc w:val="center"/>
    </w:tr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Bulletlevel2">
    <w:name w:val="Bullet level 2"/>
    <w:basedOn w:val="Text"/>
    <w:semiHidden/>
    <w:rsid w:val="00700C38"/>
    <w:pPr>
      <w:numPr>
        <w:ilvl w:val="1"/>
        <w:numId w:val="2"/>
      </w:numPr>
      <w:tabs>
        <w:tab w:val="clear" w:pos="567"/>
        <w:tab w:val="num" w:pos="360"/>
      </w:tabs>
      <w:ind w:left="0" w:firstLine="0"/>
    </w:pPr>
    <w:rPr>
      <w:lang w:eastAsia="en-GB"/>
    </w:rPr>
  </w:style>
  <w:style w:type="paragraph" w:customStyle="1" w:styleId="Bulletlevel3">
    <w:name w:val="Bullet level 3"/>
    <w:basedOn w:val="Text"/>
    <w:semiHidden/>
    <w:rsid w:val="00700C38"/>
    <w:pPr>
      <w:numPr>
        <w:ilvl w:val="2"/>
        <w:numId w:val="2"/>
      </w:numPr>
      <w:tabs>
        <w:tab w:val="clear" w:pos="851"/>
        <w:tab w:val="num" w:pos="360"/>
      </w:tabs>
      <w:ind w:left="0" w:firstLine="0"/>
    </w:pPr>
  </w:style>
  <w:style w:type="paragraph" w:customStyle="1" w:styleId="Bulletlevel4">
    <w:name w:val="Bullet level 4"/>
    <w:basedOn w:val="Text"/>
    <w:semiHidden/>
    <w:rsid w:val="00700C38"/>
    <w:pPr>
      <w:numPr>
        <w:ilvl w:val="3"/>
        <w:numId w:val="2"/>
      </w:numPr>
    </w:pPr>
  </w:style>
  <w:style w:type="paragraph" w:customStyle="1" w:styleId="Manuscriptheading1">
    <w:name w:val="Manuscript heading 1"/>
    <w:basedOn w:val="Heading1"/>
    <w:next w:val="Text"/>
    <w:rsid w:val="00700C38"/>
    <w:pPr>
      <w:keepLines w:val="0"/>
      <w:spacing w:after="60"/>
      <w:jc w:val="center"/>
    </w:pPr>
    <w:rPr>
      <w:rFonts w:ascii="Arial" w:eastAsia="Times New Roman" w:hAnsi="Arial" w:cs="Arial"/>
      <w:b/>
      <w:color w:val="auto"/>
      <w:szCs w:val="28"/>
      <w:lang w:eastAsia="en-US"/>
    </w:rPr>
  </w:style>
  <w:style w:type="character" w:customStyle="1" w:styleId="InstructionsChar">
    <w:name w:val="Instructions Char"/>
    <w:basedOn w:val="DefaultParagraphFont"/>
    <w:link w:val="Instructions"/>
    <w:rsid w:val="00700C38"/>
    <w:rPr>
      <w:rFonts w:ascii="Arial" w:eastAsia="Times New Roman" w:hAnsi="Arial" w:cs="Arial"/>
      <w:bCs/>
      <w:i/>
      <w:iCs/>
      <w:sz w:val="20"/>
      <w:szCs w:val="20"/>
      <w:lang w:val="en-GB" w:eastAsia="en-GB"/>
    </w:rPr>
  </w:style>
  <w:style w:type="paragraph" w:customStyle="1" w:styleId="Manuscriptheading2">
    <w:name w:val="Manuscript heading 2"/>
    <w:basedOn w:val="Heading2"/>
    <w:next w:val="Text"/>
    <w:link w:val="Manuscriptheading2CharChar"/>
    <w:rsid w:val="00700C38"/>
    <w:pPr>
      <w:keepLines w:val="0"/>
      <w:tabs>
        <w:tab w:val="left" w:pos="1134"/>
      </w:tabs>
      <w:spacing w:before="240" w:after="60"/>
    </w:pPr>
    <w:rPr>
      <w:rFonts w:ascii="Arial" w:eastAsia="Times New Roman" w:hAnsi="Arial" w:cs="Arial"/>
      <w:b/>
      <w:bCs/>
      <w:sz w:val="28"/>
      <w:szCs w:val="24"/>
    </w:rPr>
  </w:style>
  <w:style w:type="character" w:customStyle="1" w:styleId="TextChar">
    <w:name w:val="Text Char"/>
    <w:basedOn w:val="DefaultParagraphFont"/>
    <w:link w:val="Text"/>
    <w:rsid w:val="00700C38"/>
    <w:rPr>
      <w:rFonts w:ascii="Arial" w:eastAsia="Times New Roman" w:hAnsi="Arial" w:cs="Times New Roman"/>
      <w:szCs w:val="20"/>
      <w:lang w:val="en-GB"/>
    </w:rPr>
  </w:style>
  <w:style w:type="character" w:customStyle="1" w:styleId="Manuscriptheading2CharChar">
    <w:name w:val="Manuscript heading 2 Char Char"/>
    <w:basedOn w:val="Heading2Char"/>
    <w:link w:val="Manuscriptheading2"/>
    <w:rsid w:val="00700C38"/>
    <w:rPr>
      <w:rFonts w:ascii="Arial" w:eastAsia="Times New Roman" w:hAnsi="Arial" w:cs="Arial"/>
      <w:b/>
      <w:bCs/>
      <w:color w:val="2F5496" w:themeColor="accent1" w:themeShade="BF"/>
      <w:sz w:val="28"/>
      <w:szCs w:val="24"/>
      <w:lang w:val="en-GB" w:eastAsia="en-GB"/>
    </w:rPr>
  </w:style>
  <w:style w:type="paragraph" w:styleId="ListBullet">
    <w:name w:val="List Bullet"/>
    <w:basedOn w:val="Normal"/>
    <w:link w:val="ListBulletChar"/>
    <w:rsid w:val="00700C38"/>
    <w:pPr>
      <w:numPr>
        <w:numId w:val="4"/>
      </w:numPr>
      <w:contextualSpacing/>
    </w:pPr>
  </w:style>
  <w:style w:type="numbering" w:customStyle="1" w:styleId="ListBullets">
    <w:name w:val="ListBullets"/>
    <w:uiPriority w:val="99"/>
    <w:rsid w:val="00700C38"/>
    <w:pPr>
      <w:numPr>
        <w:numId w:val="3"/>
      </w:numPr>
    </w:pPr>
  </w:style>
  <w:style w:type="paragraph" w:styleId="ListBullet2">
    <w:name w:val="List Bullet 2"/>
    <w:basedOn w:val="Normal"/>
    <w:rsid w:val="00700C38"/>
    <w:pPr>
      <w:numPr>
        <w:numId w:val="18"/>
      </w:numPr>
      <w:contextualSpacing/>
    </w:pPr>
  </w:style>
  <w:style w:type="paragraph" w:styleId="ListBullet3">
    <w:name w:val="List Bullet 3"/>
    <w:basedOn w:val="Normal"/>
    <w:rsid w:val="00700C38"/>
    <w:pPr>
      <w:numPr>
        <w:ilvl w:val="2"/>
        <w:numId w:val="4"/>
      </w:numPr>
      <w:tabs>
        <w:tab w:val="num" w:pos="360"/>
      </w:tabs>
      <w:ind w:left="0" w:firstLine="0"/>
      <w:contextualSpacing/>
    </w:pPr>
  </w:style>
  <w:style w:type="paragraph" w:styleId="ListBullet4">
    <w:name w:val="List Bullet 4"/>
    <w:basedOn w:val="Normal"/>
    <w:rsid w:val="00700C38"/>
    <w:pPr>
      <w:numPr>
        <w:ilvl w:val="3"/>
        <w:numId w:val="4"/>
      </w:numPr>
      <w:tabs>
        <w:tab w:val="num" w:pos="360"/>
      </w:tabs>
      <w:ind w:left="0" w:firstLine="0"/>
      <w:contextualSpacing/>
    </w:pPr>
  </w:style>
  <w:style w:type="paragraph" w:styleId="ListBullet5">
    <w:name w:val="List Bullet 5"/>
    <w:basedOn w:val="Normal"/>
    <w:rsid w:val="00700C38"/>
    <w:pPr>
      <w:numPr>
        <w:ilvl w:val="4"/>
        <w:numId w:val="4"/>
      </w:numPr>
      <w:tabs>
        <w:tab w:val="num" w:pos="360"/>
      </w:tabs>
      <w:ind w:left="0" w:firstLine="0"/>
      <w:contextualSpacing/>
    </w:pPr>
  </w:style>
  <w:style w:type="paragraph" w:styleId="ListParagraph">
    <w:name w:val="List Paragraph"/>
    <w:aliases w:val="Section 5,Bulleted - 2,Numbered Sub-Section,Table Legend,Level 1 Bullet,Bullet 1,Bullet List,Sub questions"/>
    <w:basedOn w:val="Normal"/>
    <w:link w:val="ListParagraphChar"/>
    <w:uiPriority w:val="34"/>
    <w:qFormat/>
    <w:rsid w:val="00700C38"/>
    <w:pPr>
      <w:spacing w:after="160" w:line="259" w:lineRule="auto"/>
      <w:ind w:left="720"/>
      <w:contextualSpacing/>
    </w:pPr>
    <w:rPr>
      <w:rFonts w:asciiTheme="minorHAnsi" w:eastAsiaTheme="minorHAnsi" w:hAnsiTheme="minorHAnsi" w:cstheme="minorBidi"/>
      <w:szCs w:val="22"/>
      <w:lang w:val="en-US" w:eastAsia="en-US"/>
    </w:rPr>
  </w:style>
  <w:style w:type="paragraph" w:styleId="NormalWeb">
    <w:name w:val="Normal (Web)"/>
    <w:basedOn w:val="Normal"/>
    <w:uiPriority w:val="99"/>
    <w:semiHidden/>
    <w:unhideWhenUsed/>
    <w:rsid w:val="00700C38"/>
    <w:pPr>
      <w:spacing w:before="100" w:beforeAutospacing="1" w:after="100" w:afterAutospacing="1" w:line="240" w:lineRule="auto"/>
    </w:pPr>
    <w:rPr>
      <w:rFonts w:ascii="Times New Roman" w:hAnsi="Times New Roman"/>
      <w:sz w:val="24"/>
      <w:szCs w:val="24"/>
      <w:lang w:val="en-US" w:eastAsia="en-US"/>
    </w:rPr>
  </w:style>
  <w:style w:type="table" w:styleId="GridTable4">
    <w:name w:val="Grid Table 4"/>
    <w:basedOn w:val="TableNormal"/>
    <w:uiPriority w:val="49"/>
    <w:rsid w:val="00700C38"/>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unhideWhenUsed/>
    <w:rsid w:val="00700C38"/>
    <w:rPr>
      <w:sz w:val="16"/>
      <w:szCs w:val="16"/>
    </w:rPr>
  </w:style>
  <w:style w:type="paragraph" w:styleId="CommentText">
    <w:name w:val="annotation text"/>
    <w:basedOn w:val="Normal"/>
    <w:link w:val="CommentTextChar"/>
    <w:uiPriority w:val="99"/>
    <w:unhideWhenUsed/>
    <w:rsid w:val="00700C38"/>
    <w:pPr>
      <w:spacing w:line="240" w:lineRule="auto"/>
    </w:pPr>
    <w:rPr>
      <w:sz w:val="20"/>
    </w:rPr>
  </w:style>
  <w:style w:type="character" w:customStyle="1" w:styleId="CommentTextChar">
    <w:name w:val="Comment Text Char"/>
    <w:basedOn w:val="DefaultParagraphFont"/>
    <w:link w:val="CommentText"/>
    <w:uiPriority w:val="99"/>
    <w:rsid w:val="00700C38"/>
    <w:rPr>
      <w:rFonts w:ascii="Arial" w:eastAsia="Times New Roman" w:hAnsi="Arial" w:cs="Times New Roman"/>
      <w:sz w:val="20"/>
      <w:szCs w:val="20"/>
      <w:lang w:val="en-GB" w:eastAsia="en-GB"/>
    </w:rPr>
  </w:style>
  <w:style w:type="character" w:customStyle="1" w:styleId="Heading1Char">
    <w:name w:val="Heading 1 Char"/>
    <w:basedOn w:val="DefaultParagraphFont"/>
    <w:link w:val="Heading1"/>
    <w:uiPriority w:val="9"/>
    <w:rsid w:val="00700C38"/>
    <w:rPr>
      <w:rFonts w:asciiTheme="majorHAnsi" w:eastAsiaTheme="majorEastAsia" w:hAnsiTheme="majorHAnsi" w:cstheme="majorBidi"/>
      <w:color w:val="2F5496" w:themeColor="accent1" w:themeShade="BF"/>
      <w:sz w:val="32"/>
      <w:szCs w:val="32"/>
      <w:lang w:val="en-GB" w:eastAsia="en-GB"/>
    </w:rPr>
  </w:style>
  <w:style w:type="character" w:customStyle="1" w:styleId="Heading2Char">
    <w:name w:val="Heading 2 Char"/>
    <w:basedOn w:val="DefaultParagraphFont"/>
    <w:link w:val="Heading2"/>
    <w:uiPriority w:val="9"/>
    <w:semiHidden/>
    <w:rsid w:val="00700C38"/>
    <w:rPr>
      <w:rFonts w:asciiTheme="majorHAnsi" w:eastAsiaTheme="majorEastAsia" w:hAnsiTheme="majorHAnsi" w:cstheme="majorBidi"/>
      <w:color w:val="2F5496" w:themeColor="accent1" w:themeShade="BF"/>
      <w:sz w:val="26"/>
      <w:szCs w:val="26"/>
      <w:lang w:val="en-GB" w:eastAsia="en-GB"/>
    </w:rPr>
  </w:style>
  <w:style w:type="paragraph" w:styleId="BalloonText">
    <w:name w:val="Balloon Text"/>
    <w:basedOn w:val="Normal"/>
    <w:link w:val="BalloonTextChar"/>
    <w:uiPriority w:val="99"/>
    <w:semiHidden/>
    <w:unhideWhenUsed/>
    <w:rsid w:val="00700C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C38"/>
    <w:rPr>
      <w:rFonts w:ascii="Segoe UI" w:eastAsia="Times New Roman" w:hAnsi="Segoe UI" w:cs="Segoe UI"/>
      <w:sz w:val="18"/>
      <w:szCs w:val="18"/>
      <w:lang w:val="en-GB" w:eastAsia="en-GB"/>
    </w:rPr>
  </w:style>
  <w:style w:type="paragraph" w:styleId="CommentSubject">
    <w:name w:val="annotation subject"/>
    <w:basedOn w:val="CommentText"/>
    <w:next w:val="CommentText"/>
    <w:link w:val="CommentSubjectChar"/>
    <w:uiPriority w:val="99"/>
    <w:semiHidden/>
    <w:unhideWhenUsed/>
    <w:rsid w:val="00556B50"/>
    <w:rPr>
      <w:b/>
      <w:bCs/>
    </w:rPr>
  </w:style>
  <w:style w:type="character" w:customStyle="1" w:styleId="CommentSubjectChar">
    <w:name w:val="Comment Subject Char"/>
    <w:basedOn w:val="CommentTextChar"/>
    <w:link w:val="CommentSubject"/>
    <w:uiPriority w:val="99"/>
    <w:semiHidden/>
    <w:rsid w:val="00556B50"/>
    <w:rPr>
      <w:rFonts w:ascii="Arial" w:eastAsia="Times New Roman" w:hAnsi="Arial" w:cs="Times New Roman"/>
      <w:b/>
      <w:bCs/>
      <w:sz w:val="20"/>
      <w:szCs w:val="20"/>
      <w:lang w:val="en-GB" w:eastAsia="en-GB"/>
    </w:rPr>
  </w:style>
  <w:style w:type="paragraph" w:styleId="Header">
    <w:name w:val="header"/>
    <w:basedOn w:val="Normal"/>
    <w:link w:val="HeaderChar"/>
    <w:uiPriority w:val="99"/>
    <w:unhideWhenUsed/>
    <w:rsid w:val="00AB2814"/>
    <w:pPr>
      <w:tabs>
        <w:tab w:val="center" w:pos="4680"/>
        <w:tab w:val="right" w:pos="9360"/>
      </w:tabs>
      <w:spacing w:line="240" w:lineRule="auto"/>
    </w:pPr>
  </w:style>
  <w:style w:type="character" w:customStyle="1" w:styleId="HeaderChar">
    <w:name w:val="Header Char"/>
    <w:basedOn w:val="DefaultParagraphFont"/>
    <w:link w:val="Header"/>
    <w:uiPriority w:val="99"/>
    <w:rsid w:val="00AB2814"/>
    <w:rPr>
      <w:rFonts w:ascii="Arial" w:eastAsia="Times New Roman" w:hAnsi="Arial" w:cs="Times New Roman"/>
      <w:szCs w:val="20"/>
      <w:lang w:val="en-GB" w:eastAsia="en-GB"/>
    </w:rPr>
  </w:style>
  <w:style w:type="paragraph" w:customStyle="1" w:styleId="EndNoteBibliographyTitle">
    <w:name w:val="EndNote Bibliography Title"/>
    <w:basedOn w:val="Normal"/>
    <w:link w:val="EndNoteBibliographyTitleChar"/>
    <w:rsid w:val="009E20EC"/>
    <w:pPr>
      <w:jc w:val="center"/>
    </w:pPr>
    <w:rPr>
      <w:rFonts w:cs="Arial"/>
      <w:noProof/>
    </w:rPr>
  </w:style>
  <w:style w:type="character" w:customStyle="1" w:styleId="ListBulletChar">
    <w:name w:val="List Bullet Char"/>
    <w:basedOn w:val="DefaultParagraphFont"/>
    <w:link w:val="ListBullet"/>
    <w:rsid w:val="009E20EC"/>
    <w:rPr>
      <w:rFonts w:ascii="Arial" w:eastAsia="Times New Roman" w:hAnsi="Arial" w:cs="Times New Roman"/>
      <w:szCs w:val="20"/>
      <w:lang w:val="en-GB" w:eastAsia="en-GB"/>
    </w:rPr>
  </w:style>
  <w:style w:type="character" w:customStyle="1" w:styleId="EndNoteBibliographyTitleChar">
    <w:name w:val="EndNote Bibliography Title Char"/>
    <w:basedOn w:val="ListBulletChar"/>
    <w:link w:val="EndNoteBibliographyTitle"/>
    <w:rsid w:val="009E20EC"/>
    <w:rPr>
      <w:rFonts w:ascii="Arial" w:eastAsia="Times New Roman" w:hAnsi="Arial" w:cs="Arial"/>
      <w:noProof/>
      <w:szCs w:val="20"/>
      <w:lang w:val="en-GB" w:eastAsia="en-GB"/>
    </w:rPr>
  </w:style>
  <w:style w:type="paragraph" w:customStyle="1" w:styleId="EndNoteBibliography">
    <w:name w:val="EndNote Bibliography"/>
    <w:basedOn w:val="Normal"/>
    <w:link w:val="EndNoteBibliographyChar"/>
    <w:rsid w:val="009E20EC"/>
    <w:pPr>
      <w:spacing w:line="240" w:lineRule="auto"/>
    </w:pPr>
    <w:rPr>
      <w:rFonts w:cs="Arial"/>
      <w:noProof/>
    </w:rPr>
  </w:style>
  <w:style w:type="character" w:customStyle="1" w:styleId="EndNoteBibliographyChar">
    <w:name w:val="EndNote Bibliography Char"/>
    <w:basedOn w:val="ListBulletChar"/>
    <w:link w:val="EndNoteBibliography"/>
    <w:rsid w:val="009E20EC"/>
    <w:rPr>
      <w:rFonts w:ascii="Arial" w:eastAsia="Times New Roman" w:hAnsi="Arial" w:cs="Arial"/>
      <w:noProof/>
      <w:szCs w:val="20"/>
      <w:lang w:val="en-GB" w:eastAsia="en-GB"/>
    </w:rPr>
  </w:style>
  <w:style w:type="character" w:customStyle="1" w:styleId="ListParagraphChar">
    <w:name w:val="List Paragraph Char"/>
    <w:aliases w:val="Section 5 Char,Bulleted - 2 Char,Numbered Sub-Section Char,Table Legend Char,Level 1 Bullet Char,Bullet 1 Char,Bullet List Char,Sub questions Char"/>
    <w:basedOn w:val="DefaultParagraphFont"/>
    <w:link w:val="ListParagraph"/>
    <w:uiPriority w:val="34"/>
    <w:locked/>
    <w:rsid w:val="00DE25AD"/>
  </w:style>
  <w:style w:type="character" w:customStyle="1" w:styleId="A7">
    <w:name w:val="A7"/>
    <w:uiPriority w:val="99"/>
    <w:rsid w:val="00CB0C67"/>
    <w:rPr>
      <w:rFonts w:cs="Palatino"/>
      <w:color w:val="000000"/>
    </w:rPr>
  </w:style>
  <w:style w:type="paragraph" w:styleId="Revision">
    <w:name w:val="Revision"/>
    <w:hidden/>
    <w:uiPriority w:val="99"/>
    <w:semiHidden/>
    <w:rsid w:val="00125944"/>
    <w:pPr>
      <w:spacing w:after="0" w:line="240" w:lineRule="auto"/>
    </w:pPr>
    <w:rPr>
      <w:rFonts w:ascii="Arial" w:eastAsia="Times New Roman" w:hAnsi="Arial" w:cs="Times New Roman"/>
      <w:szCs w:val="20"/>
      <w:lang w:val="en-GB" w:eastAsia="en-GB"/>
    </w:rPr>
  </w:style>
  <w:style w:type="paragraph" w:customStyle="1" w:styleId="C-BodyText">
    <w:name w:val="C-Body Text"/>
    <w:link w:val="C-BodyTextChar"/>
    <w:rsid w:val="00092E80"/>
    <w:pPr>
      <w:spacing w:before="120" w:after="120" w:line="280" w:lineRule="atLeast"/>
    </w:pPr>
    <w:rPr>
      <w:rFonts w:ascii="Times New Roman" w:eastAsia="Times New Roman" w:hAnsi="Times New Roman" w:cs="Times New Roman"/>
      <w:sz w:val="24"/>
      <w:szCs w:val="20"/>
    </w:rPr>
  </w:style>
  <w:style w:type="character" w:customStyle="1" w:styleId="C-BodyTextChar">
    <w:name w:val="C-Body Text Char"/>
    <w:link w:val="C-BodyText"/>
    <w:rsid w:val="00092E80"/>
    <w:rPr>
      <w:rFonts w:ascii="Times New Roman" w:eastAsia="Times New Roman" w:hAnsi="Times New Roman" w:cs="Times New Roman"/>
      <w:sz w:val="24"/>
      <w:szCs w:val="20"/>
    </w:rPr>
  </w:style>
  <w:style w:type="paragraph" w:customStyle="1" w:styleId="C-Bullet">
    <w:name w:val="C-Bullet"/>
    <w:link w:val="C-BulletChar"/>
    <w:rsid w:val="00B46EF0"/>
    <w:pPr>
      <w:numPr>
        <w:numId w:val="5"/>
      </w:numPr>
      <w:spacing w:before="120" w:after="120" w:line="280" w:lineRule="atLeast"/>
    </w:pPr>
    <w:rPr>
      <w:rFonts w:ascii="Times New Roman" w:eastAsia="SimSun" w:hAnsi="Times New Roman" w:cs="Times New Roman"/>
      <w:sz w:val="24"/>
      <w:szCs w:val="20"/>
    </w:rPr>
  </w:style>
  <w:style w:type="paragraph" w:customStyle="1" w:styleId="C-BulletIndented">
    <w:name w:val="C-Bullet Indented"/>
    <w:rsid w:val="00B46EF0"/>
    <w:pPr>
      <w:numPr>
        <w:ilvl w:val="1"/>
        <w:numId w:val="5"/>
      </w:numPr>
      <w:spacing w:before="120" w:after="120" w:line="280" w:lineRule="atLeast"/>
    </w:pPr>
    <w:rPr>
      <w:rFonts w:ascii="Times New Roman" w:eastAsia="SimSun" w:hAnsi="Times New Roman" w:cs="Arial"/>
      <w:sz w:val="24"/>
      <w:szCs w:val="20"/>
    </w:rPr>
  </w:style>
  <w:style w:type="character" w:customStyle="1" w:styleId="C-BulletChar">
    <w:name w:val="C-Bullet Char"/>
    <w:link w:val="C-Bullet"/>
    <w:locked/>
    <w:rsid w:val="00B46EF0"/>
    <w:rPr>
      <w:rFonts w:ascii="Times New Roman" w:eastAsia="SimSun" w:hAnsi="Times New Roman" w:cs="Times New Roman"/>
      <w:sz w:val="24"/>
      <w:szCs w:val="20"/>
    </w:rPr>
  </w:style>
  <w:style w:type="paragraph" w:customStyle="1" w:styleId="p1">
    <w:name w:val="p1"/>
    <w:basedOn w:val="Normal"/>
    <w:rsid w:val="007C1C7E"/>
    <w:pPr>
      <w:spacing w:line="240" w:lineRule="auto"/>
    </w:pPr>
    <w:rPr>
      <w:rFonts w:ascii="Helvetica" w:eastAsiaTheme="minorHAnsi" w:hAnsi="Helvetica"/>
      <w:sz w:val="16"/>
      <w:szCs w:val="16"/>
      <w:lang w:val="sv-SE" w:eastAsia="sv-SE"/>
    </w:rPr>
  </w:style>
  <w:style w:type="paragraph" w:customStyle="1" w:styleId="Default">
    <w:name w:val="Default"/>
    <w:rsid w:val="00B82CA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rmaltextrun">
    <w:name w:val="normaltextrun"/>
    <w:basedOn w:val="DefaultParagraphFont"/>
    <w:rsid w:val="007177A3"/>
  </w:style>
  <w:style w:type="character" w:customStyle="1" w:styleId="eop">
    <w:name w:val="eop"/>
    <w:basedOn w:val="DefaultParagraphFont"/>
    <w:rsid w:val="007177A3"/>
  </w:style>
  <w:style w:type="paragraph" w:customStyle="1" w:styleId="C-Appendix">
    <w:name w:val="C-Appendix"/>
    <w:next w:val="C-BodyText"/>
    <w:rsid w:val="00EA17B3"/>
    <w:pPr>
      <w:keepNext/>
      <w:pageBreakBefore/>
      <w:numPr>
        <w:numId w:val="11"/>
      </w:numPr>
      <w:spacing w:before="480" w:after="120" w:line="240" w:lineRule="auto"/>
      <w:outlineLvl w:val="0"/>
    </w:pPr>
    <w:rPr>
      <w:rFonts w:ascii="Times New Roman" w:eastAsia="Times New Roman" w:hAnsi="Times New Roman" w:cs="Times New Roman"/>
      <w:b/>
      <w:caps/>
      <w:sz w:val="28"/>
      <w:szCs w:val="20"/>
    </w:rPr>
  </w:style>
  <w:style w:type="character" w:customStyle="1" w:styleId="C-Hyperlink">
    <w:name w:val="C-Hyperlink"/>
    <w:rsid w:val="00B1692E"/>
    <w:rPr>
      <w:color w:val="0000FF"/>
    </w:rPr>
  </w:style>
  <w:style w:type="character" w:styleId="Hyperlink">
    <w:name w:val="Hyperlink"/>
    <w:basedOn w:val="DefaultParagraphFont"/>
    <w:uiPriority w:val="99"/>
    <w:unhideWhenUsed/>
    <w:rsid w:val="00BC549D"/>
    <w:rPr>
      <w:color w:val="0563C1" w:themeColor="hyperlink"/>
      <w:u w:val="single"/>
    </w:rPr>
  </w:style>
  <w:style w:type="character" w:customStyle="1" w:styleId="UnresolvedMention1">
    <w:name w:val="Unresolved Mention1"/>
    <w:basedOn w:val="DefaultParagraphFont"/>
    <w:uiPriority w:val="99"/>
    <w:semiHidden/>
    <w:unhideWhenUsed/>
    <w:rsid w:val="00BC549D"/>
    <w:rPr>
      <w:color w:val="605E5C"/>
      <w:shd w:val="clear" w:color="auto" w:fill="E1DFDD"/>
    </w:rPr>
  </w:style>
  <w:style w:type="table" w:customStyle="1" w:styleId="GridTable41">
    <w:name w:val="Grid Table 41"/>
    <w:basedOn w:val="TableNormal"/>
    <w:uiPriority w:val="49"/>
    <w:rsid w:val="00643B59"/>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5964BA"/>
    <w:rPr>
      <w:color w:val="954F72" w:themeColor="followedHyperlink"/>
      <w:u w:val="single"/>
    </w:rPr>
  </w:style>
  <w:style w:type="character" w:customStyle="1" w:styleId="sr-only">
    <w:name w:val="sr-only"/>
    <w:basedOn w:val="DefaultParagraphFont"/>
    <w:rsid w:val="00E71F31"/>
  </w:style>
  <w:style w:type="character" w:customStyle="1" w:styleId="UnresolvedMention2">
    <w:name w:val="Unresolved Mention2"/>
    <w:basedOn w:val="DefaultParagraphFont"/>
    <w:uiPriority w:val="99"/>
    <w:semiHidden/>
    <w:unhideWhenUsed/>
    <w:rsid w:val="00D416BE"/>
    <w:rPr>
      <w:color w:val="605E5C"/>
      <w:shd w:val="clear" w:color="auto" w:fill="E1DFDD"/>
    </w:rPr>
  </w:style>
  <w:style w:type="character" w:styleId="Strong">
    <w:name w:val="Strong"/>
    <w:basedOn w:val="DefaultParagraphFont"/>
    <w:uiPriority w:val="22"/>
    <w:qFormat/>
    <w:rsid w:val="0077509A"/>
    <w:rPr>
      <w:b/>
      <w:bCs/>
    </w:rPr>
  </w:style>
  <w:style w:type="character" w:styleId="Emphasis">
    <w:name w:val="Emphasis"/>
    <w:basedOn w:val="DefaultParagraphFont"/>
    <w:uiPriority w:val="20"/>
    <w:qFormat/>
    <w:rsid w:val="0077509A"/>
    <w:rPr>
      <w:i/>
      <w:iCs/>
    </w:rPr>
  </w:style>
  <w:style w:type="character" w:customStyle="1" w:styleId="UnresolvedMention3">
    <w:name w:val="Unresolved Mention3"/>
    <w:basedOn w:val="DefaultParagraphFont"/>
    <w:uiPriority w:val="99"/>
    <w:unhideWhenUsed/>
    <w:rsid w:val="008701BD"/>
    <w:rPr>
      <w:color w:val="605E5C"/>
      <w:shd w:val="clear" w:color="auto" w:fill="E1DFDD"/>
    </w:rPr>
  </w:style>
  <w:style w:type="character" w:customStyle="1" w:styleId="docsum-authors">
    <w:name w:val="docsum-authors"/>
    <w:basedOn w:val="DefaultParagraphFont"/>
    <w:rsid w:val="00B033C4"/>
  </w:style>
  <w:style w:type="character" w:customStyle="1" w:styleId="apple-converted-space">
    <w:name w:val="apple-converted-space"/>
    <w:basedOn w:val="DefaultParagraphFont"/>
    <w:rsid w:val="00B033C4"/>
  </w:style>
  <w:style w:type="character" w:customStyle="1" w:styleId="docsum-journal-citation">
    <w:name w:val="docsum-journal-citation"/>
    <w:basedOn w:val="DefaultParagraphFont"/>
    <w:rsid w:val="00B033C4"/>
  </w:style>
  <w:style w:type="character" w:customStyle="1" w:styleId="citation-part">
    <w:name w:val="citation-part"/>
    <w:basedOn w:val="DefaultParagraphFont"/>
    <w:rsid w:val="00B033C4"/>
  </w:style>
  <w:style w:type="character" w:customStyle="1" w:styleId="docsum-pmid">
    <w:name w:val="docsum-pmid"/>
    <w:basedOn w:val="DefaultParagraphFont"/>
    <w:rsid w:val="00B033C4"/>
  </w:style>
  <w:style w:type="paragraph" w:styleId="PlainText">
    <w:name w:val="Plain Text"/>
    <w:basedOn w:val="Normal"/>
    <w:link w:val="PlainTextChar"/>
    <w:uiPriority w:val="99"/>
    <w:unhideWhenUsed/>
    <w:rsid w:val="001F45D1"/>
    <w:pPr>
      <w:spacing w:line="240" w:lineRule="auto"/>
    </w:pPr>
    <w:rPr>
      <w:rFonts w:ascii="Calibri" w:eastAsiaTheme="minorHAnsi" w:hAnsi="Calibri" w:cstheme="minorBidi"/>
      <w:szCs w:val="21"/>
      <w:lang w:val="en-US" w:eastAsia="en-US"/>
    </w:rPr>
  </w:style>
  <w:style w:type="character" w:customStyle="1" w:styleId="PlainTextChar">
    <w:name w:val="Plain Text Char"/>
    <w:basedOn w:val="DefaultParagraphFont"/>
    <w:link w:val="PlainText"/>
    <w:uiPriority w:val="99"/>
    <w:rsid w:val="001F45D1"/>
    <w:rPr>
      <w:rFonts w:ascii="Calibri" w:hAnsi="Calibri"/>
      <w:szCs w:val="21"/>
    </w:rPr>
  </w:style>
  <w:style w:type="character" w:styleId="LineNumber">
    <w:name w:val="line number"/>
    <w:basedOn w:val="DefaultParagraphFont"/>
    <w:uiPriority w:val="99"/>
    <w:semiHidden/>
    <w:unhideWhenUsed/>
    <w:rsid w:val="00C0578F"/>
  </w:style>
  <w:style w:type="character" w:customStyle="1" w:styleId="Mention1">
    <w:name w:val="Mention1"/>
    <w:basedOn w:val="DefaultParagraphFont"/>
    <w:uiPriority w:val="99"/>
    <w:unhideWhenUsed/>
    <w:rsid w:val="002F6A1C"/>
    <w:rPr>
      <w:color w:val="2B579A"/>
      <w:shd w:val="clear" w:color="auto" w:fill="E1DFDD"/>
    </w:rPr>
  </w:style>
  <w:style w:type="character" w:customStyle="1" w:styleId="UnresolvedMention30">
    <w:name w:val="Unresolved Mention30"/>
    <w:basedOn w:val="DefaultParagraphFont"/>
    <w:uiPriority w:val="99"/>
    <w:unhideWhenUsed/>
    <w:rsid w:val="00E30B20"/>
    <w:rPr>
      <w:color w:val="605E5C"/>
      <w:shd w:val="clear" w:color="auto" w:fill="E1DFDD"/>
    </w:rPr>
  </w:style>
  <w:style w:type="character" w:customStyle="1" w:styleId="Mention10">
    <w:name w:val="Mention10"/>
    <w:basedOn w:val="DefaultParagraphFont"/>
    <w:uiPriority w:val="99"/>
    <w:unhideWhenUsed/>
    <w:rsid w:val="00E30B20"/>
    <w:rPr>
      <w:color w:val="2B579A"/>
      <w:shd w:val="clear" w:color="auto" w:fill="E1DFDD"/>
    </w:rPr>
  </w:style>
  <w:style w:type="paragraph" w:customStyle="1" w:styleId="text14">
    <w:name w:val="text14"/>
    <w:basedOn w:val="Normal"/>
    <w:rsid w:val="00AE49E5"/>
    <w:pPr>
      <w:spacing w:before="100" w:beforeAutospacing="1" w:after="100" w:afterAutospacing="1" w:line="240" w:lineRule="auto"/>
    </w:pPr>
    <w:rPr>
      <w:rFonts w:ascii="Times New Roman" w:hAnsi="Times New Roman"/>
      <w:sz w:val="24"/>
      <w:szCs w:val="24"/>
      <w:lang w:val="en-US" w:eastAsia="en-US"/>
    </w:rPr>
  </w:style>
  <w:style w:type="paragraph" w:customStyle="1" w:styleId="pl10">
    <w:name w:val="pl10"/>
    <w:basedOn w:val="Normal"/>
    <w:rsid w:val="00AE49E5"/>
    <w:pPr>
      <w:spacing w:before="100" w:beforeAutospacing="1" w:after="100" w:afterAutospacing="1" w:line="240" w:lineRule="auto"/>
    </w:pPr>
    <w:rPr>
      <w:rFonts w:ascii="Times New Roman" w:hAnsi="Times New Roman"/>
      <w:sz w:val="24"/>
      <w:szCs w:val="24"/>
      <w:lang w:val="en-US" w:eastAsia="en-US"/>
    </w:rPr>
  </w:style>
  <w:style w:type="character" w:customStyle="1" w:styleId="Heading3Char">
    <w:name w:val="Heading 3 Char"/>
    <w:basedOn w:val="DefaultParagraphFont"/>
    <w:link w:val="Heading3"/>
    <w:uiPriority w:val="9"/>
    <w:rsid w:val="00E722DD"/>
    <w:rPr>
      <w:rFonts w:asciiTheme="majorHAnsi" w:eastAsiaTheme="majorEastAsia" w:hAnsiTheme="majorHAnsi" w:cstheme="majorBidi"/>
      <w:color w:val="1F3763" w:themeColor="accent1" w:themeShade="7F"/>
      <w:sz w:val="24"/>
      <w:szCs w:val="24"/>
      <w:lang w:val="en-GB" w:eastAsia="en-GB"/>
    </w:rPr>
  </w:style>
  <w:style w:type="character" w:styleId="UnresolvedMention">
    <w:name w:val="Unresolved Mention"/>
    <w:basedOn w:val="DefaultParagraphFont"/>
    <w:uiPriority w:val="99"/>
    <w:unhideWhenUsed/>
    <w:rsid w:val="00EF0B8C"/>
    <w:rPr>
      <w:color w:val="605E5C"/>
      <w:shd w:val="clear" w:color="auto" w:fill="E1DFDD"/>
    </w:rPr>
  </w:style>
  <w:style w:type="character" w:styleId="Mention">
    <w:name w:val="Mention"/>
    <w:basedOn w:val="DefaultParagraphFont"/>
    <w:uiPriority w:val="99"/>
    <w:unhideWhenUsed/>
    <w:rsid w:val="00EF0B8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6067">
      <w:bodyDiv w:val="1"/>
      <w:marLeft w:val="0"/>
      <w:marRight w:val="0"/>
      <w:marTop w:val="0"/>
      <w:marBottom w:val="0"/>
      <w:divBdr>
        <w:top w:val="none" w:sz="0" w:space="0" w:color="auto"/>
        <w:left w:val="none" w:sz="0" w:space="0" w:color="auto"/>
        <w:bottom w:val="none" w:sz="0" w:space="0" w:color="auto"/>
        <w:right w:val="none" w:sz="0" w:space="0" w:color="auto"/>
      </w:divBdr>
    </w:div>
    <w:div w:id="32117986">
      <w:bodyDiv w:val="1"/>
      <w:marLeft w:val="0"/>
      <w:marRight w:val="0"/>
      <w:marTop w:val="0"/>
      <w:marBottom w:val="0"/>
      <w:divBdr>
        <w:top w:val="none" w:sz="0" w:space="0" w:color="auto"/>
        <w:left w:val="none" w:sz="0" w:space="0" w:color="auto"/>
        <w:bottom w:val="none" w:sz="0" w:space="0" w:color="auto"/>
        <w:right w:val="none" w:sz="0" w:space="0" w:color="auto"/>
      </w:divBdr>
    </w:div>
    <w:div w:id="34932704">
      <w:bodyDiv w:val="1"/>
      <w:marLeft w:val="0"/>
      <w:marRight w:val="0"/>
      <w:marTop w:val="0"/>
      <w:marBottom w:val="0"/>
      <w:divBdr>
        <w:top w:val="none" w:sz="0" w:space="0" w:color="auto"/>
        <w:left w:val="none" w:sz="0" w:space="0" w:color="auto"/>
        <w:bottom w:val="none" w:sz="0" w:space="0" w:color="auto"/>
        <w:right w:val="none" w:sz="0" w:space="0" w:color="auto"/>
      </w:divBdr>
    </w:div>
    <w:div w:id="50422417">
      <w:bodyDiv w:val="1"/>
      <w:marLeft w:val="0"/>
      <w:marRight w:val="0"/>
      <w:marTop w:val="0"/>
      <w:marBottom w:val="0"/>
      <w:divBdr>
        <w:top w:val="none" w:sz="0" w:space="0" w:color="auto"/>
        <w:left w:val="none" w:sz="0" w:space="0" w:color="auto"/>
        <w:bottom w:val="none" w:sz="0" w:space="0" w:color="auto"/>
        <w:right w:val="none" w:sz="0" w:space="0" w:color="auto"/>
      </w:divBdr>
    </w:div>
    <w:div w:id="59058124">
      <w:bodyDiv w:val="1"/>
      <w:marLeft w:val="0"/>
      <w:marRight w:val="0"/>
      <w:marTop w:val="0"/>
      <w:marBottom w:val="0"/>
      <w:divBdr>
        <w:top w:val="none" w:sz="0" w:space="0" w:color="auto"/>
        <w:left w:val="none" w:sz="0" w:space="0" w:color="auto"/>
        <w:bottom w:val="none" w:sz="0" w:space="0" w:color="auto"/>
        <w:right w:val="none" w:sz="0" w:space="0" w:color="auto"/>
      </w:divBdr>
    </w:div>
    <w:div w:id="92361041">
      <w:bodyDiv w:val="1"/>
      <w:marLeft w:val="0"/>
      <w:marRight w:val="0"/>
      <w:marTop w:val="0"/>
      <w:marBottom w:val="0"/>
      <w:divBdr>
        <w:top w:val="none" w:sz="0" w:space="0" w:color="auto"/>
        <w:left w:val="none" w:sz="0" w:space="0" w:color="auto"/>
        <w:bottom w:val="none" w:sz="0" w:space="0" w:color="auto"/>
        <w:right w:val="none" w:sz="0" w:space="0" w:color="auto"/>
      </w:divBdr>
    </w:div>
    <w:div w:id="102770352">
      <w:bodyDiv w:val="1"/>
      <w:marLeft w:val="0"/>
      <w:marRight w:val="0"/>
      <w:marTop w:val="0"/>
      <w:marBottom w:val="0"/>
      <w:divBdr>
        <w:top w:val="none" w:sz="0" w:space="0" w:color="auto"/>
        <w:left w:val="none" w:sz="0" w:space="0" w:color="auto"/>
        <w:bottom w:val="none" w:sz="0" w:space="0" w:color="auto"/>
        <w:right w:val="none" w:sz="0" w:space="0" w:color="auto"/>
      </w:divBdr>
    </w:div>
    <w:div w:id="110394208">
      <w:bodyDiv w:val="1"/>
      <w:marLeft w:val="0"/>
      <w:marRight w:val="0"/>
      <w:marTop w:val="0"/>
      <w:marBottom w:val="0"/>
      <w:divBdr>
        <w:top w:val="none" w:sz="0" w:space="0" w:color="auto"/>
        <w:left w:val="none" w:sz="0" w:space="0" w:color="auto"/>
        <w:bottom w:val="none" w:sz="0" w:space="0" w:color="auto"/>
        <w:right w:val="none" w:sz="0" w:space="0" w:color="auto"/>
      </w:divBdr>
    </w:div>
    <w:div w:id="139857253">
      <w:bodyDiv w:val="1"/>
      <w:marLeft w:val="0"/>
      <w:marRight w:val="0"/>
      <w:marTop w:val="0"/>
      <w:marBottom w:val="0"/>
      <w:divBdr>
        <w:top w:val="none" w:sz="0" w:space="0" w:color="auto"/>
        <w:left w:val="none" w:sz="0" w:space="0" w:color="auto"/>
        <w:bottom w:val="none" w:sz="0" w:space="0" w:color="auto"/>
        <w:right w:val="none" w:sz="0" w:space="0" w:color="auto"/>
      </w:divBdr>
    </w:div>
    <w:div w:id="143275774">
      <w:bodyDiv w:val="1"/>
      <w:marLeft w:val="0"/>
      <w:marRight w:val="0"/>
      <w:marTop w:val="0"/>
      <w:marBottom w:val="0"/>
      <w:divBdr>
        <w:top w:val="none" w:sz="0" w:space="0" w:color="auto"/>
        <w:left w:val="none" w:sz="0" w:space="0" w:color="auto"/>
        <w:bottom w:val="none" w:sz="0" w:space="0" w:color="auto"/>
        <w:right w:val="none" w:sz="0" w:space="0" w:color="auto"/>
      </w:divBdr>
    </w:div>
    <w:div w:id="149370977">
      <w:bodyDiv w:val="1"/>
      <w:marLeft w:val="0"/>
      <w:marRight w:val="0"/>
      <w:marTop w:val="0"/>
      <w:marBottom w:val="0"/>
      <w:divBdr>
        <w:top w:val="none" w:sz="0" w:space="0" w:color="auto"/>
        <w:left w:val="none" w:sz="0" w:space="0" w:color="auto"/>
        <w:bottom w:val="none" w:sz="0" w:space="0" w:color="auto"/>
        <w:right w:val="none" w:sz="0" w:space="0" w:color="auto"/>
      </w:divBdr>
    </w:div>
    <w:div w:id="211189305">
      <w:bodyDiv w:val="1"/>
      <w:marLeft w:val="0"/>
      <w:marRight w:val="0"/>
      <w:marTop w:val="0"/>
      <w:marBottom w:val="0"/>
      <w:divBdr>
        <w:top w:val="none" w:sz="0" w:space="0" w:color="auto"/>
        <w:left w:val="none" w:sz="0" w:space="0" w:color="auto"/>
        <w:bottom w:val="none" w:sz="0" w:space="0" w:color="auto"/>
        <w:right w:val="none" w:sz="0" w:space="0" w:color="auto"/>
      </w:divBdr>
    </w:div>
    <w:div w:id="218131830">
      <w:bodyDiv w:val="1"/>
      <w:marLeft w:val="0"/>
      <w:marRight w:val="0"/>
      <w:marTop w:val="0"/>
      <w:marBottom w:val="0"/>
      <w:divBdr>
        <w:top w:val="none" w:sz="0" w:space="0" w:color="auto"/>
        <w:left w:val="none" w:sz="0" w:space="0" w:color="auto"/>
        <w:bottom w:val="none" w:sz="0" w:space="0" w:color="auto"/>
        <w:right w:val="none" w:sz="0" w:space="0" w:color="auto"/>
      </w:divBdr>
    </w:div>
    <w:div w:id="219555046">
      <w:bodyDiv w:val="1"/>
      <w:marLeft w:val="0"/>
      <w:marRight w:val="0"/>
      <w:marTop w:val="0"/>
      <w:marBottom w:val="0"/>
      <w:divBdr>
        <w:top w:val="none" w:sz="0" w:space="0" w:color="auto"/>
        <w:left w:val="none" w:sz="0" w:space="0" w:color="auto"/>
        <w:bottom w:val="none" w:sz="0" w:space="0" w:color="auto"/>
        <w:right w:val="none" w:sz="0" w:space="0" w:color="auto"/>
      </w:divBdr>
      <w:divsChild>
        <w:div w:id="189226421">
          <w:marLeft w:val="965"/>
          <w:marRight w:val="0"/>
          <w:marTop w:val="80"/>
          <w:marBottom w:val="80"/>
          <w:divBdr>
            <w:top w:val="none" w:sz="0" w:space="0" w:color="auto"/>
            <w:left w:val="none" w:sz="0" w:space="0" w:color="auto"/>
            <w:bottom w:val="none" w:sz="0" w:space="0" w:color="auto"/>
            <w:right w:val="none" w:sz="0" w:space="0" w:color="auto"/>
          </w:divBdr>
        </w:div>
      </w:divsChild>
    </w:div>
    <w:div w:id="220144356">
      <w:bodyDiv w:val="1"/>
      <w:marLeft w:val="0"/>
      <w:marRight w:val="0"/>
      <w:marTop w:val="0"/>
      <w:marBottom w:val="0"/>
      <w:divBdr>
        <w:top w:val="none" w:sz="0" w:space="0" w:color="auto"/>
        <w:left w:val="none" w:sz="0" w:space="0" w:color="auto"/>
        <w:bottom w:val="none" w:sz="0" w:space="0" w:color="auto"/>
        <w:right w:val="none" w:sz="0" w:space="0" w:color="auto"/>
      </w:divBdr>
      <w:divsChild>
        <w:div w:id="1065566590">
          <w:marLeft w:val="965"/>
          <w:marRight w:val="0"/>
          <w:marTop w:val="80"/>
          <w:marBottom w:val="80"/>
          <w:divBdr>
            <w:top w:val="none" w:sz="0" w:space="0" w:color="auto"/>
            <w:left w:val="none" w:sz="0" w:space="0" w:color="auto"/>
            <w:bottom w:val="none" w:sz="0" w:space="0" w:color="auto"/>
            <w:right w:val="none" w:sz="0" w:space="0" w:color="auto"/>
          </w:divBdr>
        </w:div>
      </w:divsChild>
    </w:div>
    <w:div w:id="231045852">
      <w:bodyDiv w:val="1"/>
      <w:marLeft w:val="0"/>
      <w:marRight w:val="0"/>
      <w:marTop w:val="0"/>
      <w:marBottom w:val="0"/>
      <w:divBdr>
        <w:top w:val="none" w:sz="0" w:space="0" w:color="auto"/>
        <w:left w:val="none" w:sz="0" w:space="0" w:color="auto"/>
        <w:bottom w:val="none" w:sz="0" w:space="0" w:color="auto"/>
        <w:right w:val="none" w:sz="0" w:space="0" w:color="auto"/>
      </w:divBdr>
    </w:div>
    <w:div w:id="243954884">
      <w:bodyDiv w:val="1"/>
      <w:marLeft w:val="0"/>
      <w:marRight w:val="0"/>
      <w:marTop w:val="0"/>
      <w:marBottom w:val="0"/>
      <w:divBdr>
        <w:top w:val="none" w:sz="0" w:space="0" w:color="auto"/>
        <w:left w:val="none" w:sz="0" w:space="0" w:color="auto"/>
        <w:bottom w:val="none" w:sz="0" w:space="0" w:color="auto"/>
        <w:right w:val="none" w:sz="0" w:space="0" w:color="auto"/>
      </w:divBdr>
      <w:divsChild>
        <w:div w:id="991106354">
          <w:marLeft w:val="432"/>
          <w:marRight w:val="0"/>
          <w:marTop w:val="120"/>
          <w:marBottom w:val="120"/>
          <w:divBdr>
            <w:top w:val="none" w:sz="0" w:space="0" w:color="auto"/>
            <w:left w:val="none" w:sz="0" w:space="0" w:color="auto"/>
            <w:bottom w:val="none" w:sz="0" w:space="0" w:color="auto"/>
            <w:right w:val="none" w:sz="0" w:space="0" w:color="auto"/>
          </w:divBdr>
        </w:div>
        <w:div w:id="1828475116">
          <w:marLeft w:val="1152"/>
          <w:marRight w:val="0"/>
          <w:marTop w:val="120"/>
          <w:marBottom w:val="120"/>
          <w:divBdr>
            <w:top w:val="none" w:sz="0" w:space="0" w:color="auto"/>
            <w:left w:val="none" w:sz="0" w:space="0" w:color="auto"/>
            <w:bottom w:val="none" w:sz="0" w:space="0" w:color="auto"/>
            <w:right w:val="none" w:sz="0" w:space="0" w:color="auto"/>
          </w:divBdr>
        </w:div>
        <w:div w:id="2032223921">
          <w:marLeft w:val="1152"/>
          <w:marRight w:val="0"/>
          <w:marTop w:val="120"/>
          <w:marBottom w:val="120"/>
          <w:divBdr>
            <w:top w:val="none" w:sz="0" w:space="0" w:color="auto"/>
            <w:left w:val="none" w:sz="0" w:space="0" w:color="auto"/>
            <w:bottom w:val="none" w:sz="0" w:space="0" w:color="auto"/>
            <w:right w:val="none" w:sz="0" w:space="0" w:color="auto"/>
          </w:divBdr>
        </w:div>
      </w:divsChild>
    </w:div>
    <w:div w:id="264578161">
      <w:bodyDiv w:val="1"/>
      <w:marLeft w:val="0"/>
      <w:marRight w:val="0"/>
      <w:marTop w:val="0"/>
      <w:marBottom w:val="0"/>
      <w:divBdr>
        <w:top w:val="none" w:sz="0" w:space="0" w:color="auto"/>
        <w:left w:val="none" w:sz="0" w:space="0" w:color="auto"/>
        <w:bottom w:val="none" w:sz="0" w:space="0" w:color="auto"/>
        <w:right w:val="none" w:sz="0" w:space="0" w:color="auto"/>
      </w:divBdr>
    </w:div>
    <w:div w:id="273945559">
      <w:bodyDiv w:val="1"/>
      <w:marLeft w:val="0"/>
      <w:marRight w:val="0"/>
      <w:marTop w:val="0"/>
      <w:marBottom w:val="0"/>
      <w:divBdr>
        <w:top w:val="none" w:sz="0" w:space="0" w:color="auto"/>
        <w:left w:val="none" w:sz="0" w:space="0" w:color="auto"/>
        <w:bottom w:val="none" w:sz="0" w:space="0" w:color="auto"/>
        <w:right w:val="none" w:sz="0" w:space="0" w:color="auto"/>
      </w:divBdr>
      <w:divsChild>
        <w:div w:id="201796">
          <w:marLeft w:val="1152"/>
          <w:marRight w:val="0"/>
          <w:marTop w:val="120"/>
          <w:marBottom w:val="120"/>
          <w:divBdr>
            <w:top w:val="none" w:sz="0" w:space="0" w:color="auto"/>
            <w:left w:val="none" w:sz="0" w:space="0" w:color="auto"/>
            <w:bottom w:val="none" w:sz="0" w:space="0" w:color="auto"/>
            <w:right w:val="none" w:sz="0" w:space="0" w:color="auto"/>
          </w:divBdr>
        </w:div>
        <w:div w:id="1419449121">
          <w:marLeft w:val="432"/>
          <w:marRight w:val="0"/>
          <w:marTop w:val="120"/>
          <w:marBottom w:val="120"/>
          <w:divBdr>
            <w:top w:val="none" w:sz="0" w:space="0" w:color="auto"/>
            <w:left w:val="none" w:sz="0" w:space="0" w:color="auto"/>
            <w:bottom w:val="none" w:sz="0" w:space="0" w:color="auto"/>
            <w:right w:val="none" w:sz="0" w:space="0" w:color="auto"/>
          </w:divBdr>
        </w:div>
        <w:div w:id="1645818718">
          <w:marLeft w:val="432"/>
          <w:marRight w:val="0"/>
          <w:marTop w:val="120"/>
          <w:marBottom w:val="120"/>
          <w:divBdr>
            <w:top w:val="none" w:sz="0" w:space="0" w:color="auto"/>
            <w:left w:val="none" w:sz="0" w:space="0" w:color="auto"/>
            <w:bottom w:val="none" w:sz="0" w:space="0" w:color="auto"/>
            <w:right w:val="none" w:sz="0" w:space="0" w:color="auto"/>
          </w:divBdr>
        </w:div>
        <w:div w:id="1773166421">
          <w:marLeft w:val="1152"/>
          <w:marRight w:val="0"/>
          <w:marTop w:val="120"/>
          <w:marBottom w:val="120"/>
          <w:divBdr>
            <w:top w:val="none" w:sz="0" w:space="0" w:color="auto"/>
            <w:left w:val="none" w:sz="0" w:space="0" w:color="auto"/>
            <w:bottom w:val="none" w:sz="0" w:space="0" w:color="auto"/>
            <w:right w:val="none" w:sz="0" w:space="0" w:color="auto"/>
          </w:divBdr>
        </w:div>
      </w:divsChild>
    </w:div>
    <w:div w:id="274411226">
      <w:bodyDiv w:val="1"/>
      <w:marLeft w:val="0"/>
      <w:marRight w:val="0"/>
      <w:marTop w:val="0"/>
      <w:marBottom w:val="0"/>
      <w:divBdr>
        <w:top w:val="none" w:sz="0" w:space="0" w:color="auto"/>
        <w:left w:val="none" w:sz="0" w:space="0" w:color="auto"/>
        <w:bottom w:val="none" w:sz="0" w:space="0" w:color="auto"/>
        <w:right w:val="none" w:sz="0" w:space="0" w:color="auto"/>
      </w:divBdr>
      <w:divsChild>
        <w:div w:id="1376537939">
          <w:marLeft w:val="461"/>
          <w:marRight w:val="0"/>
          <w:marTop w:val="0"/>
          <w:marBottom w:val="0"/>
          <w:divBdr>
            <w:top w:val="none" w:sz="0" w:space="0" w:color="auto"/>
            <w:left w:val="none" w:sz="0" w:space="0" w:color="auto"/>
            <w:bottom w:val="none" w:sz="0" w:space="0" w:color="auto"/>
            <w:right w:val="none" w:sz="0" w:space="0" w:color="auto"/>
          </w:divBdr>
        </w:div>
      </w:divsChild>
    </w:div>
    <w:div w:id="276261162">
      <w:bodyDiv w:val="1"/>
      <w:marLeft w:val="0"/>
      <w:marRight w:val="0"/>
      <w:marTop w:val="0"/>
      <w:marBottom w:val="0"/>
      <w:divBdr>
        <w:top w:val="none" w:sz="0" w:space="0" w:color="auto"/>
        <w:left w:val="none" w:sz="0" w:space="0" w:color="auto"/>
        <w:bottom w:val="none" w:sz="0" w:space="0" w:color="auto"/>
        <w:right w:val="none" w:sz="0" w:space="0" w:color="auto"/>
      </w:divBdr>
    </w:div>
    <w:div w:id="283079590">
      <w:bodyDiv w:val="1"/>
      <w:marLeft w:val="0"/>
      <w:marRight w:val="0"/>
      <w:marTop w:val="0"/>
      <w:marBottom w:val="0"/>
      <w:divBdr>
        <w:top w:val="none" w:sz="0" w:space="0" w:color="auto"/>
        <w:left w:val="none" w:sz="0" w:space="0" w:color="auto"/>
        <w:bottom w:val="none" w:sz="0" w:space="0" w:color="auto"/>
        <w:right w:val="none" w:sz="0" w:space="0" w:color="auto"/>
      </w:divBdr>
      <w:divsChild>
        <w:div w:id="1055161930">
          <w:marLeft w:val="446"/>
          <w:marRight w:val="0"/>
          <w:marTop w:val="86"/>
          <w:marBottom w:val="120"/>
          <w:divBdr>
            <w:top w:val="none" w:sz="0" w:space="0" w:color="auto"/>
            <w:left w:val="none" w:sz="0" w:space="0" w:color="auto"/>
            <w:bottom w:val="none" w:sz="0" w:space="0" w:color="auto"/>
            <w:right w:val="none" w:sz="0" w:space="0" w:color="auto"/>
          </w:divBdr>
        </w:div>
        <w:div w:id="1198471084">
          <w:marLeft w:val="446"/>
          <w:marRight w:val="0"/>
          <w:marTop w:val="86"/>
          <w:marBottom w:val="120"/>
          <w:divBdr>
            <w:top w:val="none" w:sz="0" w:space="0" w:color="auto"/>
            <w:left w:val="none" w:sz="0" w:space="0" w:color="auto"/>
            <w:bottom w:val="none" w:sz="0" w:space="0" w:color="auto"/>
            <w:right w:val="none" w:sz="0" w:space="0" w:color="auto"/>
          </w:divBdr>
        </w:div>
        <w:div w:id="1239902798">
          <w:marLeft w:val="446"/>
          <w:marRight w:val="0"/>
          <w:marTop w:val="86"/>
          <w:marBottom w:val="120"/>
          <w:divBdr>
            <w:top w:val="none" w:sz="0" w:space="0" w:color="auto"/>
            <w:left w:val="none" w:sz="0" w:space="0" w:color="auto"/>
            <w:bottom w:val="none" w:sz="0" w:space="0" w:color="auto"/>
            <w:right w:val="none" w:sz="0" w:space="0" w:color="auto"/>
          </w:divBdr>
        </w:div>
        <w:div w:id="1440418047">
          <w:marLeft w:val="446"/>
          <w:marRight w:val="0"/>
          <w:marTop w:val="86"/>
          <w:marBottom w:val="120"/>
          <w:divBdr>
            <w:top w:val="none" w:sz="0" w:space="0" w:color="auto"/>
            <w:left w:val="none" w:sz="0" w:space="0" w:color="auto"/>
            <w:bottom w:val="none" w:sz="0" w:space="0" w:color="auto"/>
            <w:right w:val="none" w:sz="0" w:space="0" w:color="auto"/>
          </w:divBdr>
        </w:div>
        <w:div w:id="1693069400">
          <w:marLeft w:val="446"/>
          <w:marRight w:val="0"/>
          <w:marTop w:val="86"/>
          <w:marBottom w:val="120"/>
          <w:divBdr>
            <w:top w:val="none" w:sz="0" w:space="0" w:color="auto"/>
            <w:left w:val="none" w:sz="0" w:space="0" w:color="auto"/>
            <w:bottom w:val="none" w:sz="0" w:space="0" w:color="auto"/>
            <w:right w:val="none" w:sz="0" w:space="0" w:color="auto"/>
          </w:divBdr>
        </w:div>
      </w:divsChild>
    </w:div>
    <w:div w:id="303849033">
      <w:bodyDiv w:val="1"/>
      <w:marLeft w:val="0"/>
      <w:marRight w:val="0"/>
      <w:marTop w:val="0"/>
      <w:marBottom w:val="0"/>
      <w:divBdr>
        <w:top w:val="none" w:sz="0" w:space="0" w:color="auto"/>
        <w:left w:val="none" w:sz="0" w:space="0" w:color="auto"/>
        <w:bottom w:val="none" w:sz="0" w:space="0" w:color="auto"/>
        <w:right w:val="none" w:sz="0" w:space="0" w:color="auto"/>
      </w:divBdr>
    </w:div>
    <w:div w:id="312953423">
      <w:bodyDiv w:val="1"/>
      <w:marLeft w:val="0"/>
      <w:marRight w:val="0"/>
      <w:marTop w:val="0"/>
      <w:marBottom w:val="0"/>
      <w:divBdr>
        <w:top w:val="none" w:sz="0" w:space="0" w:color="auto"/>
        <w:left w:val="none" w:sz="0" w:space="0" w:color="auto"/>
        <w:bottom w:val="none" w:sz="0" w:space="0" w:color="auto"/>
        <w:right w:val="none" w:sz="0" w:space="0" w:color="auto"/>
      </w:divBdr>
    </w:div>
    <w:div w:id="313409933">
      <w:bodyDiv w:val="1"/>
      <w:marLeft w:val="0"/>
      <w:marRight w:val="0"/>
      <w:marTop w:val="0"/>
      <w:marBottom w:val="0"/>
      <w:divBdr>
        <w:top w:val="none" w:sz="0" w:space="0" w:color="auto"/>
        <w:left w:val="none" w:sz="0" w:space="0" w:color="auto"/>
        <w:bottom w:val="none" w:sz="0" w:space="0" w:color="auto"/>
        <w:right w:val="none" w:sz="0" w:space="0" w:color="auto"/>
      </w:divBdr>
    </w:div>
    <w:div w:id="314801295">
      <w:bodyDiv w:val="1"/>
      <w:marLeft w:val="0"/>
      <w:marRight w:val="0"/>
      <w:marTop w:val="0"/>
      <w:marBottom w:val="0"/>
      <w:divBdr>
        <w:top w:val="none" w:sz="0" w:space="0" w:color="auto"/>
        <w:left w:val="none" w:sz="0" w:space="0" w:color="auto"/>
        <w:bottom w:val="none" w:sz="0" w:space="0" w:color="auto"/>
        <w:right w:val="none" w:sz="0" w:space="0" w:color="auto"/>
      </w:divBdr>
    </w:div>
    <w:div w:id="321474097">
      <w:bodyDiv w:val="1"/>
      <w:marLeft w:val="0"/>
      <w:marRight w:val="0"/>
      <w:marTop w:val="0"/>
      <w:marBottom w:val="0"/>
      <w:divBdr>
        <w:top w:val="none" w:sz="0" w:space="0" w:color="auto"/>
        <w:left w:val="none" w:sz="0" w:space="0" w:color="auto"/>
        <w:bottom w:val="none" w:sz="0" w:space="0" w:color="auto"/>
        <w:right w:val="none" w:sz="0" w:space="0" w:color="auto"/>
      </w:divBdr>
    </w:div>
    <w:div w:id="332226715">
      <w:bodyDiv w:val="1"/>
      <w:marLeft w:val="0"/>
      <w:marRight w:val="0"/>
      <w:marTop w:val="0"/>
      <w:marBottom w:val="0"/>
      <w:divBdr>
        <w:top w:val="none" w:sz="0" w:space="0" w:color="auto"/>
        <w:left w:val="none" w:sz="0" w:space="0" w:color="auto"/>
        <w:bottom w:val="none" w:sz="0" w:space="0" w:color="auto"/>
        <w:right w:val="none" w:sz="0" w:space="0" w:color="auto"/>
      </w:divBdr>
    </w:div>
    <w:div w:id="343476743">
      <w:bodyDiv w:val="1"/>
      <w:marLeft w:val="0"/>
      <w:marRight w:val="0"/>
      <w:marTop w:val="0"/>
      <w:marBottom w:val="0"/>
      <w:divBdr>
        <w:top w:val="none" w:sz="0" w:space="0" w:color="auto"/>
        <w:left w:val="none" w:sz="0" w:space="0" w:color="auto"/>
        <w:bottom w:val="none" w:sz="0" w:space="0" w:color="auto"/>
        <w:right w:val="none" w:sz="0" w:space="0" w:color="auto"/>
      </w:divBdr>
    </w:div>
    <w:div w:id="361825811">
      <w:bodyDiv w:val="1"/>
      <w:marLeft w:val="0"/>
      <w:marRight w:val="0"/>
      <w:marTop w:val="0"/>
      <w:marBottom w:val="0"/>
      <w:divBdr>
        <w:top w:val="none" w:sz="0" w:space="0" w:color="auto"/>
        <w:left w:val="none" w:sz="0" w:space="0" w:color="auto"/>
        <w:bottom w:val="none" w:sz="0" w:space="0" w:color="auto"/>
        <w:right w:val="none" w:sz="0" w:space="0" w:color="auto"/>
      </w:divBdr>
    </w:div>
    <w:div w:id="365182664">
      <w:bodyDiv w:val="1"/>
      <w:marLeft w:val="0"/>
      <w:marRight w:val="0"/>
      <w:marTop w:val="0"/>
      <w:marBottom w:val="0"/>
      <w:divBdr>
        <w:top w:val="none" w:sz="0" w:space="0" w:color="auto"/>
        <w:left w:val="none" w:sz="0" w:space="0" w:color="auto"/>
        <w:bottom w:val="none" w:sz="0" w:space="0" w:color="auto"/>
        <w:right w:val="none" w:sz="0" w:space="0" w:color="auto"/>
      </w:divBdr>
    </w:div>
    <w:div w:id="378094044">
      <w:bodyDiv w:val="1"/>
      <w:marLeft w:val="0"/>
      <w:marRight w:val="0"/>
      <w:marTop w:val="0"/>
      <w:marBottom w:val="0"/>
      <w:divBdr>
        <w:top w:val="none" w:sz="0" w:space="0" w:color="auto"/>
        <w:left w:val="none" w:sz="0" w:space="0" w:color="auto"/>
        <w:bottom w:val="none" w:sz="0" w:space="0" w:color="auto"/>
        <w:right w:val="none" w:sz="0" w:space="0" w:color="auto"/>
      </w:divBdr>
    </w:div>
    <w:div w:id="379787054">
      <w:bodyDiv w:val="1"/>
      <w:marLeft w:val="0"/>
      <w:marRight w:val="0"/>
      <w:marTop w:val="0"/>
      <w:marBottom w:val="0"/>
      <w:divBdr>
        <w:top w:val="none" w:sz="0" w:space="0" w:color="auto"/>
        <w:left w:val="none" w:sz="0" w:space="0" w:color="auto"/>
        <w:bottom w:val="none" w:sz="0" w:space="0" w:color="auto"/>
        <w:right w:val="none" w:sz="0" w:space="0" w:color="auto"/>
      </w:divBdr>
      <w:divsChild>
        <w:div w:id="337998626">
          <w:marLeft w:val="446"/>
          <w:marRight w:val="0"/>
          <w:marTop w:val="86"/>
          <w:marBottom w:val="120"/>
          <w:divBdr>
            <w:top w:val="none" w:sz="0" w:space="0" w:color="auto"/>
            <w:left w:val="none" w:sz="0" w:space="0" w:color="auto"/>
            <w:bottom w:val="none" w:sz="0" w:space="0" w:color="auto"/>
            <w:right w:val="none" w:sz="0" w:space="0" w:color="auto"/>
          </w:divBdr>
        </w:div>
      </w:divsChild>
    </w:div>
    <w:div w:id="381758539">
      <w:bodyDiv w:val="1"/>
      <w:marLeft w:val="0"/>
      <w:marRight w:val="0"/>
      <w:marTop w:val="0"/>
      <w:marBottom w:val="0"/>
      <w:divBdr>
        <w:top w:val="none" w:sz="0" w:space="0" w:color="auto"/>
        <w:left w:val="none" w:sz="0" w:space="0" w:color="auto"/>
        <w:bottom w:val="none" w:sz="0" w:space="0" w:color="auto"/>
        <w:right w:val="none" w:sz="0" w:space="0" w:color="auto"/>
      </w:divBdr>
    </w:div>
    <w:div w:id="384068687">
      <w:bodyDiv w:val="1"/>
      <w:marLeft w:val="0"/>
      <w:marRight w:val="0"/>
      <w:marTop w:val="0"/>
      <w:marBottom w:val="0"/>
      <w:divBdr>
        <w:top w:val="none" w:sz="0" w:space="0" w:color="auto"/>
        <w:left w:val="none" w:sz="0" w:space="0" w:color="auto"/>
        <w:bottom w:val="none" w:sz="0" w:space="0" w:color="auto"/>
        <w:right w:val="none" w:sz="0" w:space="0" w:color="auto"/>
      </w:divBdr>
    </w:div>
    <w:div w:id="388497915">
      <w:bodyDiv w:val="1"/>
      <w:marLeft w:val="0"/>
      <w:marRight w:val="0"/>
      <w:marTop w:val="0"/>
      <w:marBottom w:val="0"/>
      <w:divBdr>
        <w:top w:val="none" w:sz="0" w:space="0" w:color="auto"/>
        <w:left w:val="none" w:sz="0" w:space="0" w:color="auto"/>
        <w:bottom w:val="none" w:sz="0" w:space="0" w:color="auto"/>
        <w:right w:val="none" w:sz="0" w:space="0" w:color="auto"/>
      </w:divBdr>
    </w:div>
    <w:div w:id="411513599">
      <w:bodyDiv w:val="1"/>
      <w:marLeft w:val="0"/>
      <w:marRight w:val="0"/>
      <w:marTop w:val="0"/>
      <w:marBottom w:val="0"/>
      <w:divBdr>
        <w:top w:val="none" w:sz="0" w:space="0" w:color="auto"/>
        <w:left w:val="none" w:sz="0" w:space="0" w:color="auto"/>
        <w:bottom w:val="none" w:sz="0" w:space="0" w:color="auto"/>
        <w:right w:val="none" w:sz="0" w:space="0" w:color="auto"/>
      </w:divBdr>
      <w:divsChild>
        <w:div w:id="2007707945">
          <w:marLeft w:val="0"/>
          <w:marRight w:val="0"/>
          <w:marTop w:val="0"/>
          <w:marBottom w:val="0"/>
          <w:divBdr>
            <w:top w:val="none" w:sz="0" w:space="0" w:color="auto"/>
            <w:left w:val="none" w:sz="0" w:space="0" w:color="auto"/>
            <w:bottom w:val="none" w:sz="0" w:space="0" w:color="auto"/>
            <w:right w:val="none" w:sz="0" w:space="0" w:color="auto"/>
          </w:divBdr>
        </w:div>
      </w:divsChild>
    </w:div>
    <w:div w:id="418600290">
      <w:bodyDiv w:val="1"/>
      <w:marLeft w:val="0"/>
      <w:marRight w:val="0"/>
      <w:marTop w:val="0"/>
      <w:marBottom w:val="0"/>
      <w:divBdr>
        <w:top w:val="none" w:sz="0" w:space="0" w:color="auto"/>
        <w:left w:val="none" w:sz="0" w:space="0" w:color="auto"/>
        <w:bottom w:val="none" w:sz="0" w:space="0" w:color="auto"/>
        <w:right w:val="none" w:sz="0" w:space="0" w:color="auto"/>
      </w:divBdr>
    </w:div>
    <w:div w:id="439496125">
      <w:bodyDiv w:val="1"/>
      <w:marLeft w:val="0"/>
      <w:marRight w:val="0"/>
      <w:marTop w:val="0"/>
      <w:marBottom w:val="0"/>
      <w:divBdr>
        <w:top w:val="none" w:sz="0" w:space="0" w:color="auto"/>
        <w:left w:val="none" w:sz="0" w:space="0" w:color="auto"/>
        <w:bottom w:val="none" w:sz="0" w:space="0" w:color="auto"/>
        <w:right w:val="none" w:sz="0" w:space="0" w:color="auto"/>
      </w:divBdr>
    </w:div>
    <w:div w:id="455679800">
      <w:bodyDiv w:val="1"/>
      <w:marLeft w:val="0"/>
      <w:marRight w:val="0"/>
      <w:marTop w:val="0"/>
      <w:marBottom w:val="0"/>
      <w:divBdr>
        <w:top w:val="none" w:sz="0" w:space="0" w:color="auto"/>
        <w:left w:val="none" w:sz="0" w:space="0" w:color="auto"/>
        <w:bottom w:val="none" w:sz="0" w:space="0" w:color="auto"/>
        <w:right w:val="none" w:sz="0" w:space="0" w:color="auto"/>
      </w:divBdr>
    </w:div>
    <w:div w:id="469787011">
      <w:bodyDiv w:val="1"/>
      <w:marLeft w:val="0"/>
      <w:marRight w:val="0"/>
      <w:marTop w:val="0"/>
      <w:marBottom w:val="0"/>
      <w:divBdr>
        <w:top w:val="none" w:sz="0" w:space="0" w:color="auto"/>
        <w:left w:val="none" w:sz="0" w:space="0" w:color="auto"/>
        <w:bottom w:val="none" w:sz="0" w:space="0" w:color="auto"/>
        <w:right w:val="none" w:sz="0" w:space="0" w:color="auto"/>
      </w:divBdr>
    </w:div>
    <w:div w:id="472531071">
      <w:bodyDiv w:val="1"/>
      <w:marLeft w:val="0"/>
      <w:marRight w:val="0"/>
      <w:marTop w:val="0"/>
      <w:marBottom w:val="0"/>
      <w:divBdr>
        <w:top w:val="none" w:sz="0" w:space="0" w:color="auto"/>
        <w:left w:val="none" w:sz="0" w:space="0" w:color="auto"/>
        <w:bottom w:val="none" w:sz="0" w:space="0" w:color="auto"/>
        <w:right w:val="none" w:sz="0" w:space="0" w:color="auto"/>
      </w:divBdr>
      <w:divsChild>
        <w:div w:id="1930120221">
          <w:marLeft w:val="274"/>
          <w:marRight w:val="0"/>
          <w:marTop w:val="0"/>
          <w:marBottom w:val="0"/>
          <w:divBdr>
            <w:top w:val="none" w:sz="0" w:space="0" w:color="auto"/>
            <w:left w:val="none" w:sz="0" w:space="0" w:color="auto"/>
            <w:bottom w:val="none" w:sz="0" w:space="0" w:color="auto"/>
            <w:right w:val="none" w:sz="0" w:space="0" w:color="auto"/>
          </w:divBdr>
        </w:div>
      </w:divsChild>
    </w:div>
    <w:div w:id="474839275">
      <w:bodyDiv w:val="1"/>
      <w:marLeft w:val="0"/>
      <w:marRight w:val="0"/>
      <w:marTop w:val="0"/>
      <w:marBottom w:val="0"/>
      <w:divBdr>
        <w:top w:val="none" w:sz="0" w:space="0" w:color="auto"/>
        <w:left w:val="none" w:sz="0" w:space="0" w:color="auto"/>
        <w:bottom w:val="none" w:sz="0" w:space="0" w:color="auto"/>
        <w:right w:val="none" w:sz="0" w:space="0" w:color="auto"/>
      </w:divBdr>
    </w:div>
    <w:div w:id="479350285">
      <w:bodyDiv w:val="1"/>
      <w:marLeft w:val="0"/>
      <w:marRight w:val="0"/>
      <w:marTop w:val="0"/>
      <w:marBottom w:val="0"/>
      <w:divBdr>
        <w:top w:val="none" w:sz="0" w:space="0" w:color="auto"/>
        <w:left w:val="none" w:sz="0" w:space="0" w:color="auto"/>
        <w:bottom w:val="none" w:sz="0" w:space="0" w:color="auto"/>
        <w:right w:val="none" w:sz="0" w:space="0" w:color="auto"/>
      </w:divBdr>
    </w:div>
    <w:div w:id="515080071">
      <w:bodyDiv w:val="1"/>
      <w:marLeft w:val="0"/>
      <w:marRight w:val="0"/>
      <w:marTop w:val="0"/>
      <w:marBottom w:val="0"/>
      <w:divBdr>
        <w:top w:val="none" w:sz="0" w:space="0" w:color="auto"/>
        <w:left w:val="none" w:sz="0" w:space="0" w:color="auto"/>
        <w:bottom w:val="none" w:sz="0" w:space="0" w:color="auto"/>
        <w:right w:val="none" w:sz="0" w:space="0" w:color="auto"/>
      </w:divBdr>
    </w:div>
    <w:div w:id="516232442">
      <w:bodyDiv w:val="1"/>
      <w:marLeft w:val="0"/>
      <w:marRight w:val="0"/>
      <w:marTop w:val="0"/>
      <w:marBottom w:val="0"/>
      <w:divBdr>
        <w:top w:val="none" w:sz="0" w:space="0" w:color="auto"/>
        <w:left w:val="none" w:sz="0" w:space="0" w:color="auto"/>
        <w:bottom w:val="none" w:sz="0" w:space="0" w:color="auto"/>
        <w:right w:val="none" w:sz="0" w:space="0" w:color="auto"/>
      </w:divBdr>
    </w:div>
    <w:div w:id="527371249">
      <w:bodyDiv w:val="1"/>
      <w:marLeft w:val="0"/>
      <w:marRight w:val="0"/>
      <w:marTop w:val="0"/>
      <w:marBottom w:val="0"/>
      <w:divBdr>
        <w:top w:val="none" w:sz="0" w:space="0" w:color="auto"/>
        <w:left w:val="none" w:sz="0" w:space="0" w:color="auto"/>
        <w:bottom w:val="none" w:sz="0" w:space="0" w:color="auto"/>
        <w:right w:val="none" w:sz="0" w:space="0" w:color="auto"/>
      </w:divBdr>
    </w:div>
    <w:div w:id="533272071">
      <w:bodyDiv w:val="1"/>
      <w:marLeft w:val="0"/>
      <w:marRight w:val="0"/>
      <w:marTop w:val="0"/>
      <w:marBottom w:val="0"/>
      <w:divBdr>
        <w:top w:val="none" w:sz="0" w:space="0" w:color="auto"/>
        <w:left w:val="none" w:sz="0" w:space="0" w:color="auto"/>
        <w:bottom w:val="none" w:sz="0" w:space="0" w:color="auto"/>
        <w:right w:val="none" w:sz="0" w:space="0" w:color="auto"/>
      </w:divBdr>
    </w:div>
    <w:div w:id="555704453">
      <w:bodyDiv w:val="1"/>
      <w:marLeft w:val="0"/>
      <w:marRight w:val="0"/>
      <w:marTop w:val="0"/>
      <w:marBottom w:val="0"/>
      <w:divBdr>
        <w:top w:val="none" w:sz="0" w:space="0" w:color="auto"/>
        <w:left w:val="none" w:sz="0" w:space="0" w:color="auto"/>
        <w:bottom w:val="none" w:sz="0" w:space="0" w:color="auto"/>
        <w:right w:val="none" w:sz="0" w:space="0" w:color="auto"/>
      </w:divBdr>
      <w:divsChild>
        <w:div w:id="138882636">
          <w:marLeft w:val="274"/>
          <w:marRight w:val="0"/>
          <w:marTop w:val="0"/>
          <w:marBottom w:val="0"/>
          <w:divBdr>
            <w:top w:val="none" w:sz="0" w:space="0" w:color="auto"/>
            <w:left w:val="none" w:sz="0" w:space="0" w:color="auto"/>
            <w:bottom w:val="none" w:sz="0" w:space="0" w:color="auto"/>
            <w:right w:val="none" w:sz="0" w:space="0" w:color="auto"/>
          </w:divBdr>
        </w:div>
      </w:divsChild>
    </w:div>
    <w:div w:id="575167992">
      <w:bodyDiv w:val="1"/>
      <w:marLeft w:val="0"/>
      <w:marRight w:val="0"/>
      <w:marTop w:val="0"/>
      <w:marBottom w:val="0"/>
      <w:divBdr>
        <w:top w:val="none" w:sz="0" w:space="0" w:color="auto"/>
        <w:left w:val="none" w:sz="0" w:space="0" w:color="auto"/>
        <w:bottom w:val="none" w:sz="0" w:space="0" w:color="auto"/>
        <w:right w:val="none" w:sz="0" w:space="0" w:color="auto"/>
      </w:divBdr>
    </w:div>
    <w:div w:id="576938788">
      <w:bodyDiv w:val="1"/>
      <w:marLeft w:val="0"/>
      <w:marRight w:val="0"/>
      <w:marTop w:val="0"/>
      <w:marBottom w:val="0"/>
      <w:divBdr>
        <w:top w:val="none" w:sz="0" w:space="0" w:color="auto"/>
        <w:left w:val="none" w:sz="0" w:space="0" w:color="auto"/>
        <w:bottom w:val="none" w:sz="0" w:space="0" w:color="auto"/>
        <w:right w:val="none" w:sz="0" w:space="0" w:color="auto"/>
      </w:divBdr>
    </w:div>
    <w:div w:id="584152510">
      <w:bodyDiv w:val="1"/>
      <w:marLeft w:val="0"/>
      <w:marRight w:val="0"/>
      <w:marTop w:val="0"/>
      <w:marBottom w:val="0"/>
      <w:divBdr>
        <w:top w:val="none" w:sz="0" w:space="0" w:color="auto"/>
        <w:left w:val="none" w:sz="0" w:space="0" w:color="auto"/>
        <w:bottom w:val="none" w:sz="0" w:space="0" w:color="auto"/>
        <w:right w:val="none" w:sz="0" w:space="0" w:color="auto"/>
      </w:divBdr>
    </w:div>
    <w:div w:id="589196952">
      <w:bodyDiv w:val="1"/>
      <w:marLeft w:val="0"/>
      <w:marRight w:val="0"/>
      <w:marTop w:val="0"/>
      <w:marBottom w:val="0"/>
      <w:divBdr>
        <w:top w:val="none" w:sz="0" w:space="0" w:color="auto"/>
        <w:left w:val="none" w:sz="0" w:space="0" w:color="auto"/>
        <w:bottom w:val="none" w:sz="0" w:space="0" w:color="auto"/>
        <w:right w:val="none" w:sz="0" w:space="0" w:color="auto"/>
      </w:divBdr>
    </w:div>
    <w:div w:id="600453614">
      <w:bodyDiv w:val="1"/>
      <w:marLeft w:val="0"/>
      <w:marRight w:val="0"/>
      <w:marTop w:val="0"/>
      <w:marBottom w:val="0"/>
      <w:divBdr>
        <w:top w:val="none" w:sz="0" w:space="0" w:color="auto"/>
        <w:left w:val="none" w:sz="0" w:space="0" w:color="auto"/>
        <w:bottom w:val="none" w:sz="0" w:space="0" w:color="auto"/>
        <w:right w:val="none" w:sz="0" w:space="0" w:color="auto"/>
      </w:divBdr>
    </w:div>
    <w:div w:id="606738604">
      <w:bodyDiv w:val="1"/>
      <w:marLeft w:val="0"/>
      <w:marRight w:val="0"/>
      <w:marTop w:val="0"/>
      <w:marBottom w:val="0"/>
      <w:divBdr>
        <w:top w:val="none" w:sz="0" w:space="0" w:color="auto"/>
        <w:left w:val="none" w:sz="0" w:space="0" w:color="auto"/>
        <w:bottom w:val="none" w:sz="0" w:space="0" w:color="auto"/>
        <w:right w:val="none" w:sz="0" w:space="0" w:color="auto"/>
      </w:divBdr>
      <w:divsChild>
        <w:div w:id="822429288">
          <w:marLeft w:val="1152"/>
          <w:marRight w:val="0"/>
          <w:marTop w:val="120"/>
          <w:marBottom w:val="120"/>
          <w:divBdr>
            <w:top w:val="none" w:sz="0" w:space="0" w:color="auto"/>
            <w:left w:val="none" w:sz="0" w:space="0" w:color="auto"/>
            <w:bottom w:val="none" w:sz="0" w:space="0" w:color="auto"/>
            <w:right w:val="none" w:sz="0" w:space="0" w:color="auto"/>
          </w:divBdr>
        </w:div>
      </w:divsChild>
    </w:div>
    <w:div w:id="621229699">
      <w:bodyDiv w:val="1"/>
      <w:marLeft w:val="0"/>
      <w:marRight w:val="0"/>
      <w:marTop w:val="0"/>
      <w:marBottom w:val="0"/>
      <w:divBdr>
        <w:top w:val="none" w:sz="0" w:space="0" w:color="auto"/>
        <w:left w:val="none" w:sz="0" w:space="0" w:color="auto"/>
        <w:bottom w:val="none" w:sz="0" w:space="0" w:color="auto"/>
        <w:right w:val="none" w:sz="0" w:space="0" w:color="auto"/>
      </w:divBdr>
      <w:divsChild>
        <w:div w:id="1686856832">
          <w:marLeft w:val="0"/>
          <w:marRight w:val="0"/>
          <w:marTop w:val="0"/>
          <w:marBottom w:val="0"/>
          <w:divBdr>
            <w:top w:val="none" w:sz="0" w:space="0" w:color="auto"/>
            <w:left w:val="none" w:sz="0" w:space="0" w:color="auto"/>
            <w:bottom w:val="none" w:sz="0" w:space="0" w:color="auto"/>
            <w:right w:val="none" w:sz="0" w:space="0" w:color="auto"/>
          </w:divBdr>
        </w:div>
      </w:divsChild>
    </w:div>
    <w:div w:id="621694027">
      <w:bodyDiv w:val="1"/>
      <w:marLeft w:val="0"/>
      <w:marRight w:val="0"/>
      <w:marTop w:val="0"/>
      <w:marBottom w:val="0"/>
      <w:divBdr>
        <w:top w:val="none" w:sz="0" w:space="0" w:color="auto"/>
        <w:left w:val="none" w:sz="0" w:space="0" w:color="auto"/>
        <w:bottom w:val="none" w:sz="0" w:space="0" w:color="auto"/>
        <w:right w:val="none" w:sz="0" w:space="0" w:color="auto"/>
      </w:divBdr>
    </w:div>
    <w:div w:id="643775628">
      <w:bodyDiv w:val="1"/>
      <w:marLeft w:val="0"/>
      <w:marRight w:val="0"/>
      <w:marTop w:val="0"/>
      <w:marBottom w:val="0"/>
      <w:divBdr>
        <w:top w:val="none" w:sz="0" w:space="0" w:color="auto"/>
        <w:left w:val="none" w:sz="0" w:space="0" w:color="auto"/>
        <w:bottom w:val="none" w:sz="0" w:space="0" w:color="auto"/>
        <w:right w:val="none" w:sz="0" w:space="0" w:color="auto"/>
      </w:divBdr>
    </w:div>
    <w:div w:id="647396936">
      <w:bodyDiv w:val="1"/>
      <w:marLeft w:val="0"/>
      <w:marRight w:val="0"/>
      <w:marTop w:val="0"/>
      <w:marBottom w:val="0"/>
      <w:divBdr>
        <w:top w:val="none" w:sz="0" w:space="0" w:color="auto"/>
        <w:left w:val="none" w:sz="0" w:space="0" w:color="auto"/>
        <w:bottom w:val="none" w:sz="0" w:space="0" w:color="auto"/>
        <w:right w:val="none" w:sz="0" w:space="0" w:color="auto"/>
      </w:divBdr>
    </w:div>
    <w:div w:id="651327367">
      <w:bodyDiv w:val="1"/>
      <w:marLeft w:val="0"/>
      <w:marRight w:val="0"/>
      <w:marTop w:val="0"/>
      <w:marBottom w:val="0"/>
      <w:divBdr>
        <w:top w:val="none" w:sz="0" w:space="0" w:color="auto"/>
        <w:left w:val="none" w:sz="0" w:space="0" w:color="auto"/>
        <w:bottom w:val="none" w:sz="0" w:space="0" w:color="auto"/>
        <w:right w:val="none" w:sz="0" w:space="0" w:color="auto"/>
      </w:divBdr>
    </w:div>
    <w:div w:id="655107019">
      <w:bodyDiv w:val="1"/>
      <w:marLeft w:val="0"/>
      <w:marRight w:val="0"/>
      <w:marTop w:val="0"/>
      <w:marBottom w:val="0"/>
      <w:divBdr>
        <w:top w:val="none" w:sz="0" w:space="0" w:color="auto"/>
        <w:left w:val="none" w:sz="0" w:space="0" w:color="auto"/>
        <w:bottom w:val="none" w:sz="0" w:space="0" w:color="auto"/>
        <w:right w:val="none" w:sz="0" w:space="0" w:color="auto"/>
      </w:divBdr>
    </w:div>
    <w:div w:id="660353510">
      <w:bodyDiv w:val="1"/>
      <w:marLeft w:val="0"/>
      <w:marRight w:val="0"/>
      <w:marTop w:val="0"/>
      <w:marBottom w:val="0"/>
      <w:divBdr>
        <w:top w:val="none" w:sz="0" w:space="0" w:color="auto"/>
        <w:left w:val="none" w:sz="0" w:space="0" w:color="auto"/>
        <w:bottom w:val="none" w:sz="0" w:space="0" w:color="auto"/>
        <w:right w:val="none" w:sz="0" w:space="0" w:color="auto"/>
      </w:divBdr>
    </w:div>
    <w:div w:id="683291777">
      <w:bodyDiv w:val="1"/>
      <w:marLeft w:val="0"/>
      <w:marRight w:val="0"/>
      <w:marTop w:val="0"/>
      <w:marBottom w:val="0"/>
      <w:divBdr>
        <w:top w:val="none" w:sz="0" w:space="0" w:color="auto"/>
        <w:left w:val="none" w:sz="0" w:space="0" w:color="auto"/>
        <w:bottom w:val="none" w:sz="0" w:space="0" w:color="auto"/>
        <w:right w:val="none" w:sz="0" w:space="0" w:color="auto"/>
      </w:divBdr>
    </w:div>
    <w:div w:id="692919846">
      <w:bodyDiv w:val="1"/>
      <w:marLeft w:val="0"/>
      <w:marRight w:val="0"/>
      <w:marTop w:val="0"/>
      <w:marBottom w:val="0"/>
      <w:divBdr>
        <w:top w:val="none" w:sz="0" w:space="0" w:color="auto"/>
        <w:left w:val="none" w:sz="0" w:space="0" w:color="auto"/>
        <w:bottom w:val="none" w:sz="0" w:space="0" w:color="auto"/>
        <w:right w:val="none" w:sz="0" w:space="0" w:color="auto"/>
      </w:divBdr>
    </w:div>
    <w:div w:id="703794315">
      <w:bodyDiv w:val="1"/>
      <w:marLeft w:val="0"/>
      <w:marRight w:val="0"/>
      <w:marTop w:val="0"/>
      <w:marBottom w:val="0"/>
      <w:divBdr>
        <w:top w:val="none" w:sz="0" w:space="0" w:color="auto"/>
        <w:left w:val="none" w:sz="0" w:space="0" w:color="auto"/>
        <w:bottom w:val="none" w:sz="0" w:space="0" w:color="auto"/>
        <w:right w:val="none" w:sz="0" w:space="0" w:color="auto"/>
      </w:divBdr>
      <w:divsChild>
        <w:div w:id="1371108064">
          <w:marLeft w:val="965"/>
          <w:marRight w:val="0"/>
          <w:marTop w:val="80"/>
          <w:marBottom w:val="80"/>
          <w:divBdr>
            <w:top w:val="none" w:sz="0" w:space="0" w:color="auto"/>
            <w:left w:val="none" w:sz="0" w:space="0" w:color="auto"/>
            <w:bottom w:val="none" w:sz="0" w:space="0" w:color="auto"/>
            <w:right w:val="none" w:sz="0" w:space="0" w:color="auto"/>
          </w:divBdr>
        </w:div>
      </w:divsChild>
    </w:div>
    <w:div w:id="726028503">
      <w:bodyDiv w:val="1"/>
      <w:marLeft w:val="0"/>
      <w:marRight w:val="0"/>
      <w:marTop w:val="0"/>
      <w:marBottom w:val="0"/>
      <w:divBdr>
        <w:top w:val="none" w:sz="0" w:space="0" w:color="auto"/>
        <w:left w:val="none" w:sz="0" w:space="0" w:color="auto"/>
        <w:bottom w:val="none" w:sz="0" w:space="0" w:color="auto"/>
        <w:right w:val="none" w:sz="0" w:space="0" w:color="auto"/>
      </w:divBdr>
    </w:div>
    <w:div w:id="737094191">
      <w:bodyDiv w:val="1"/>
      <w:marLeft w:val="0"/>
      <w:marRight w:val="0"/>
      <w:marTop w:val="0"/>
      <w:marBottom w:val="0"/>
      <w:divBdr>
        <w:top w:val="none" w:sz="0" w:space="0" w:color="auto"/>
        <w:left w:val="none" w:sz="0" w:space="0" w:color="auto"/>
        <w:bottom w:val="none" w:sz="0" w:space="0" w:color="auto"/>
        <w:right w:val="none" w:sz="0" w:space="0" w:color="auto"/>
      </w:divBdr>
    </w:div>
    <w:div w:id="740257100">
      <w:bodyDiv w:val="1"/>
      <w:marLeft w:val="0"/>
      <w:marRight w:val="0"/>
      <w:marTop w:val="0"/>
      <w:marBottom w:val="0"/>
      <w:divBdr>
        <w:top w:val="none" w:sz="0" w:space="0" w:color="auto"/>
        <w:left w:val="none" w:sz="0" w:space="0" w:color="auto"/>
        <w:bottom w:val="none" w:sz="0" w:space="0" w:color="auto"/>
        <w:right w:val="none" w:sz="0" w:space="0" w:color="auto"/>
      </w:divBdr>
      <w:divsChild>
        <w:div w:id="292296940">
          <w:marLeft w:val="994"/>
          <w:marRight w:val="0"/>
          <w:marTop w:val="120"/>
          <w:marBottom w:val="120"/>
          <w:divBdr>
            <w:top w:val="none" w:sz="0" w:space="0" w:color="auto"/>
            <w:left w:val="none" w:sz="0" w:space="0" w:color="auto"/>
            <w:bottom w:val="none" w:sz="0" w:space="0" w:color="auto"/>
            <w:right w:val="none" w:sz="0" w:space="0" w:color="auto"/>
          </w:divBdr>
        </w:div>
        <w:div w:id="467863204">
          <w:marLeft w:val="994"/>
          <w:marRight w:val="0"/>
          <w:marTop w:val="120"/>
          <w:marBottom w:val="120"/>
          <w:divBdr>
            <w:top w:val="none" w:sz="0" w:space="0" w:color="auto"/>
            <w:left w:val="none" w:sz="0" w:space="0" w:color="auto"/>
            <w:bottom w:val="none" w:sz="0" w:space="0" w:color="auto"/>
            <w:right w:val="none" w:sz="0" w:space="0" w:color="auto"/>
          </w:divBdr>
        </w:div>
        <w:div w:id="1340423965">
          <w:marLeft w:val="994"/>
          <w:marRight w:val="0"/>
          <w:marTop w:val="120"/>
          <w:marBottom w:val="120"/>
          <w:divBdr>
            <w:top w:val="none" w:sz="0" w:space="0" w:color="auto"/>
            <w:left w:val="none" w:sz="0" w:space="0" w:color="auto"/>
            <w:bottom w:val="none" w:sz="0" w:space="0" w:color="auto"/>
            <w:right w:val="none" w:sz="0" w:space="0" w:color="auto"/>
          </w:divBdr>
        </w:div>
        <w:div w:id="1878196321">
          <w:marLeft w:val="994"/>
          <w:marRight w:val="0"/>
          <w:marTop w:val="120"/>
          <w:marBottom w:val="120"/>
          <w:divBdr>
            <w:top w:val="none" w:sz="0" w:space="0" w:color="auto"/>
            <w:left w:val="none" w:sz="0" w:space="0" w:color="auto"/>
            <w:bottom w:val="none" w:sz="0" w:space="0" w:color="auto"/>
            <w:right w:val="none" w:sz="0" w:space="0" w:color="auto"/>
          </w:divBdr>
        </w:div>
      </w:divsChild>
    </w:div>
    <w:div w:id="780881006">
      <w:bodyDiv w:val="1"/>
      <w:marLeft w:val="0"/>
      <w:marRight w:val="0"/>
      <w:marTop w:val="0"/>
      <w:marBottom w:val="0"/>
      <w:divBdr>
        <w:top w:val="none" w:sz="0" w:space="0" w:color="auto"/>
        <w:left w:val="none" w:sz="0" w:space="0" w:color="auto"/>
        <w:bottom w:val="none" w:sz="0" w:space="0" w:color="auto"/>
        <w:right w:val="none" w:sz="0" w:space="0" w:color="auto"/>
      </w:divBdr>
    </w:div>
    <w:div w:id="795954866">
      <w:bodyDiv w:val="1"/>
      <w:marLeft w:val="0"/>
      <w:marRight w:val="0"/>
      <w:marTop w:val="0"/>
      <w:marBottom w:val="0"/>
      <w:divBdr>
        <w:top w:val="none" w:sz="0" w:space="0" w:color="auto"/>
        <w:left w:val="none" w:sz="0" w:space="0" w:color="auto"/>
        <w:bottom w:val="none" w:sz="0" w:space="0" w:color="auto"/>
        <w:right w:val="none" w:sz="0" w:space="0" w:color="auto"/>
      </w:divBdr>
    </w:div>
    <w:div w:id="828404377">
      <w:bodyDiv w:val="1"/>
      <w:marLeft w:val="0"/>
      <w:marRight w:val="0"/>
      <w:marTop w:val="0"/>
      <w:marBottom w:val="0"/>
      <w:divBdr>
        <w:top w:val="none" w:sz="0" w:space="0" w:color="auto"/>
        <w:left w:val="none" w:sz="0" w:space="0" w:color="auto"/>
        <w:bottom w:val="none" w:sz="0" w:space="0" w:color="auto"/>
        <w:right w:val="none" w:sz="0" w:space="0" w:color="auto"/>
      </w:divBdr>
    </w:div>
    <w:div w:id="828518968">
      <w:bodyDiv w:val="1"/>
      <w:marLeft w:val="0"/>
      <w:marRight w:val="0"/>
      <w:marTop w:val="0"/>
      <w:marBottom w:val="0"/>
      <w:divBdr>
        <w:top w:val="none" w:sz="0" w:space="0" w:color="auto"/>
        <w:left w:val="none" w:sz="0" w:space="0" w:color="auto"/>
        <w:bottom w:val="none" w:sz="0" w:space="0" w:color="auto"/>
        <w:right w:val="none" w:sz="0" w:space="0" w:color="auto"/>
      </w:divBdr>
    </w:div>
    <w:div w:id="839734156">
      <w:bodyDiv w:val="1"/>
      <w:marLeft w:val="0"/>
      <w:marRight w:val="0"/>
      <w:marTop w:val="0"/>
      <w:marBottom w:val="0"/>
      <w:divBdr>
        <w:top w:val="none" w:sz="0" w:space="0" w:color="auto"/>
        <w:left w:val="none" w:sz="0" w:space="0" w:color="auto"/>
        <w:bottom w:val="none" w:sz="0" w:space="0" w:color="auto"/>
        <w:right w:val="none" w:sz="0" w:space="0" w:color="auto"/>
      </w:divBdr>
    </w:div>
    <w:div w:id="841239552">
      <w:bodyDiv w:val="1"/>
      <w:marLeft w:val="0"/>
      <w:marRight w:val="0"/>
      <w:marTop w:val="0"/>
      <w:marBottom w:val="0"/>
      <w:divBdr>
        <w:top w:val="none" w:sz="0" w:space="0" w:color="auto"/>
        <w:left w:val="none" w:sz="0" w:space="0" w:color="auto"/>
        <w:bottom w:val="none" w:sz="0" w:space="0" w:color="auto"/>
        <w:right w:val="none" w:sz="0" w:space="0" w:color="auto"/>
      </w:divBdr>
    </w:div>
    <w:div w:id="849177259">
      <w:bodyDiv w:val="1"/>
      <w:marLeft w:val="0"/>
      <w:marRight w:val="0"/>
      <w:marTop w:val="0"/>
      <w:marBottom w:val="0"/>
      <w:divBdr>
        <w:top w:val="none" w:sz="0" w:space="0" w:color="auto"/>
        <w:left w:val="none" w:sz="0" w:space="0" w:color="auto"/>
        <w:bottom w:val="none" w:sz="0" w:space="0" w:color="auto"/>
        <w:right w:val="none" w:sz="0" w:space="0" w:color="auto"/>
      </w:divBdr>
    </w:div>
    <w:div w:id="860318807">
      <w:bodyDiv w:val="1"/>
      <w:marLeft w:val="0"/>
      <w:marRight w:val="0"/>
      <w:marTop w:val="0"/>
      <w:marBottom w:val="0"/>
      <w:divBdr>
        <w:top w:val="none" w:sz="0" w:space="0" w:color="auto"/>
        <w:left w:val="none" w:sz="0" w:space="0" w:color="auto"/>
        <w:bottom w:val="none" w:sz="0" w:space="0" w:color="auto"/>
        <w:right w:val="none" w:sz="0" w:space="0" w:color="auto"/>
      </w:divBdr>
    </w:div>
    <w:div w:id="873688877">
      <w:bodyDiv w:val="1"/>
      <w:marLeft w:val="0"/>
      <w:marRight w:val="0"/>
      <w:marTop w:val="0"/>
      <w:marBottom w:val="0"/>
      <w:divBdr>
        <w:top w:val="none" w:sz="0" w:space="0" w:color="auto"/>
        <w:left w:val="none" w:sz="0" w:space="0" w:color="auto"/>
        <w:bottom w:val="none" w:sz="0" w:space="0" w:color="auto"/>
        <w:right w:val="none" w:sz="0" w:space="0" w:color="auto"/>
      </w:divBdr>
    </w:div>
    <w:div w:id="889879324">
      <w:bodyDiv w:val="1"/>
      <w:marLeft w:val="0"/>
      <w:marRight w:val="0"/>
      <w:marTop w:val="0"/>
      <w:marBottom w:val="0"/>
      <w:divBdr>
        <w:top w:val="none" w:sz="0" w:space="0" w:color="auto"/>
        <w:left w:val="none" w:sz="0" w:space="0" w:color="auto"/>
        <w:bottom w:val="none" w:sz="0" w:space="0" w:color="auto"/>
        <w:right w:val="none" w:sz="0" w:space="0" w:color="auto"/>
      </w:divBdr>
    </w:div>
    <w:div w:id="894242031">
      <w:bodyDiv w:val="1"/>
      <w:marLeft w:val="0"/>
      <w:marRight w:val="0"/>
      <w:marTop w:val="0"/>
      <w:marBottom w:val="0"/>
      <w:divBdr>
        <w:top w:val="none" w:sz="0" w:space="0" w:color="auto"/>
        <w:left w:val="none" w:sz="0" w:space="0" w:color="auto"/>
        <w:bottom w:val="none" w:sz="0" w:space="0" w:color="auto"/>
        <w:right w:val="none" w:sz="0" w:space="0" w:color="auto"/>
      </w:divBdr>
    </w:div>
    <w:div w:id="895579958">
      <w:bodyDiv w:val="1"/>
      <w:marLeft w:val="0"/>
      <w:marRight w:val="0"/>
      <w:marTop w:val="0"/>
      <w:marBottom w:val="0"/>
      <w:divBdr>
        <w:top w:val="none" w:sz="0" w:space="0" w:color="auto"/>
        <w:left w:val="none" w:sz="0" w:space="0" w:color="auto"/>
        <w:bottom w:val="none" w:sz="0" w:space="0" w:color="auto"/>
        <w:right w:val="none" w:sz="0" w:space="0" w:color="auto"/>
      </w:divBdr>
    </w:div>
    <w:div w:id="901865724">
      <w:bodyDiv w:val="1"/>
      <w:marLeft w:val="0"/>
      <w:marRight w:val="0"/>
      <w:marTop w:val="0"/>
      <w:marBottom w:val="0"/>
      <w:divBdr>
        <w:top w:val="none" w:sz="0" w:space="0" w:color="auto"/>
        <w:left w:val="none" w:sz="0" w:space="0" w:color="auto"/>
        <w:bottom w:val="none" w:sz="0" w:space="0" w:color="auto"/>
        <w:right w:val="none" w:sz="0" w:space="0" w:color="auto"/>
      </w:divBdr>
    </w:div>
    <w:div w:id="966280703">
      <w:bodyDiv w:val="1"/>
      <w:marLeft w:val="0"/>
      <w:marRight w:val="0"/>
      <w:marTop w:val="0"/>
      <w:marBottom w:val="0"/>
      <w:divBdr>
        <w:top w:val="none" w:sz="0" w:space="0" w:color="auto"/>
        <w:left w:val="none" w:sz="0" w:space="0" w:color="auto"/>
        <w:bottom w:val="none" w:sz="0" w:space="0" w:color="auto"/>
        <w:right w:val="none" w:sz="0" w:space="0" w:color="auto"/>
      </w:divBdr>
      <w:divsChild>
        <w:div w:id="93287415">
          <w:marLeft w:val="446"/>
          <w:marRight w:val="0"/>
          <w:marTop w:val="77"/>
          <w:marBottom w:val="120"/>
          <w:divBdr>
            <w:top w:val="none" w:sz="0" w:space="0" w:color="auto"/>
            <w:left w:val="none" w:sz="0" w:space="0" w:color="auto"/>
            <w:bottom w:val="none" w:sz="0" w:space="0" w:color="auto"/>
            <w:right w:val="none" w:sz="0" w:space="0" w:color="auto"/>
          </w:divBdr>
        </w:div>
        <w:div w:id="397947767">
          <w:marLeft w:val="994"/>
          <w:marRight w:val="0"/>
          <w:marTop w:val="0"/>
          <w:marBottom w:val="120"/>
          <w:divBdr>
            <w:top w:val="none" w:sz="0" w:space="0" w:color="auto"/>
            <w:left w:val="none" w:sz="0" w:space="0" w:color="auto"/>
            <w:bottom w:val="none" w:sz="0" w:space="0" w:color="auto"/>
            <w:right w:val="none" w:sz="0" w:space="0" w:color="auto"/>
          </w:divBdr>
        </w:div>
        <w:div w:id="468404701">
          <w:marLeft w:val="994"/>
          <w:marRight w:val="0"/>
          <w:marTop w:val="0"/>
          <w:marBottom w:val="120"/>
          <w:divBdr>
            <w:top w:val="none" w:sz="0" w:space="0" w:color="auto"/>
            <w:left w:val="none" w:sz="0" w:space="0" w:color="auto"/>
            <w:bottom w:val="none" w:sz="0" w:space="0" w:color="auto"/>
            <w:right w:val="none" w:sz="0" w:space="0" w:color="auto"/>
          </w:divBdr>
        </w:div>
        <w:div w:id="551768026">
          <w:marLeft w:val="446"/>
          <w:marRight w:val="0"/>
          <w:marTop w:val="77"/>
          <w:marBottom w:val="120"/>
          <w:divBdr>
            <w:top w:val="none" w:sz="0" w:space="0" w:color="auto"/>
            <w:left w:val="none" w:sz="0" w:space="0" w:color="auto"/>
            <w:bottom w:val="none" w:sz="0" w:space="0" w:color="auto"/>
            <w:right w:val="none" w:sz="0" w:space="0" w:color="auto"/>
          </w:divBdr>
        </w:div>
        <w:div w:id="658003382">
          <w:marLeft w:val="446"/>
          <w:marRight w:val="0"/>
          <w:marTop w:val="0"/>
          <w:marBottom w:val="120"/>
          <w:divBdr>
            <w:top w:val="none" w:sz="0" w:space="0" w:color="auto"/>
            <w:left w:val="none" w:sz="0" w:space="0" w:color="auto"/>
            <w:bottom w:val="none" w:sz="0" w:space="0" w:color="auto"/>
            <w:right w:val="none" w:sz="0" w:space="0" w:color="auto"/>
          </w:divBdr>
        </w:div>
        <w:div w:id="677316649">
          <w:marLeft w:val="994"/>
          <w:marRight w:val="0"/>
          <w:marTop w:val="0"/>
          <w:marBottom w:val="120"/>
          <w:divBdr>
            <w:top w:val="none" w:sz="0" w:space="0" w:color="auto"/>
            <w:left w:val="none" w:sz="0" w:space="0" w:color="auto"/>
            <w:bottom w:val="none" w:sz="0" w:space="0" w:color="auto"/>
            <w:right w:val="none" w:sz="0" w:space="0" w:color="auto"/>
          </w:divBdr>
        </w:div>
        <w:div w:id="806238955">
          <w:marLeft w:val="994"/>
          <w:marRight w:val="0"/>
          <w:marTop w:val="0"/>
          <w:marBottom w:val="120"/>
          <w:divBdr>
            <w:top w:val="none" w:sz="0" w:space="0" w:color="auto"/>
            <w:left w:val="none" w:sz="0" w:space="0" w:color="auto"/>
            <w:bottom w:val="none" w:sz="0" w:space="0" w:color="auto"/>
            <w:right w:val="none" w:sz="0" w:space="0" w:color="auto"/>
          </w:divBdr>
        </w:div>
        <w:div w:id="1116869351">
          <w:marLeft w:val="446"/>
          <w:marRight w:val="0"/>
          <w:marTop w:val="0"/>
          <w:marBottom w:val="120"/>
          <w:divBdr>
            <w:top w:val="none" w:sz="0" w:space="0" w:color="auto"/>
            <w:left w:val="none" w:sz="0" w:space="0" w:color="auto"/>
            <w:bottom w:val="none" w:sz="0" w:space="0" w:color="auto"/>
            <w:right w:val="none" w:sz="0" w:space="0" w:color="auto"/>
          </w:divBdr>
        </w:div>
        <w:div w:id="1370647334">
          <w:marLeft w:val="446"/>
          <w:marRight w:val="0"/>
          <w:marTop w:val="0"/>
          <w:marBottom w:val="120"/>
          <w:divBdr>
            <w:top w:val="none" w:sz="0" w:space="0" w:color="auto"/>
            <w:left w:val="none" w:sz="0" w:space="0" w:color="auto"/>
            <w:bottom w:val="none" w:sz="0" w:space="0" w:color="auto"/>
            <w:right w:val="none" w:sz="0" w:space="0" w:color="auto"/>
          </w:divBdr>
        </w:div>
        <w:div w:id="1864399012">
          <w:marLeft w:val="994"/>
          <w:marRight w:val="0"/>
          <w:marTop w:val="0"/>
          <w:marBottom w:val="120"/>
          <w:divBdr>
            <w:top w:val="none" w:sz="0" w:space="0" w:color="auto"/>
            <w:left w:val="none" w:sz="0" w:space="0" w:color="auto"/>
            <w:bottom w:val="none" w:sz="0" w:space="0" w:color="auto"/>
            <w:right w:val="none" w:sz="0" w:space="0" w:color="auto"/>
          </w:divBdr>
        </w:div>
        <w:div w:id="1947930232">
          <w:marLeft w:val="446"/>
          <w:marRight w:val="0"/>
          <w:marTop w:val="77"/>
          <w:marBottom w:val="120"/>
          <w:divBdr>
            <w:top w:val="none" w:sz="0" w:space="0" w:color="auto"/>
            <w:left w:val="none" w:sz="0" w:space="0" w:color="auto"/>
            <w:bottom w:val="none" w:sz="0" w:space="0" w:color="auto"/>
            <w:right w:val="none" w:sz="0" w:space="0" w:color="auto"/>
          </w:divBdr>
        </w:div>
        <w:div w:id="2027903598">
          <w:marLeft w:val="446"/>
          <w:marRight w:val="0"/>
          <w:marTop w:val="77"/>
          <w:marBottom w:val="120"/>
          <w:divBdr>
            <w:top w:val="none" w:sz="0" w:space="0" w:color="auto"/>
            <w:left w:val="none" w:sz="0" w:space="0" w:color="auto"/>
            <w:bottom w:val="none" w:sz="0" w:space="0" w:color="auto"/>
            <w:right w:val="none" w:sz="0" w:space="0" w:color="auto"/>
          </w:divBdr>
        </w:div>
      </w:divsChild>
    </w:div>
    <w:div w:id="967932767">
      <w:bodyDiv w:val="1"/>
      <w:marLeft w:val="0"/>
      <w:marRight w:val="0"/>
      <w:marTop w:val="0"/>
      <w:marBottom w:val="0"/>
      <w:divBdr>
        <w:top w:val="none" w:sz="0" w:space="0" w:color="auto"/>
        <w:left w:val="none" w:sz="0" w:space="0" w:color="auto"/>
        <w:bottom w:val="none" w:sz="0" w:space="0" w:color="auto"/>
        <w:right w:val="none" w:sz="0" w:space="0" w:color="auto"/>
      </w:divBdr>
    </w:div>
    <w:div w:id="982392766">
      <w:bodyDiv w:val="1"/>
      <w:marLeft w:val="0"/>
      <w:marRight w:val="0"/>
      <w:marTop w:val="0"/>
      <w:marBottom w:val="0"/>
      <w:divBdr>
        <w:top w:val="none" w:sz="0" w:space="0" w:color="auto"/>
        <w:left w:val="none" w:sz="0" w:space="0" w:color="auto"/>
        <w:bottom w:val="none" w:sz="0" w:space="0" w:color="auto"/>
        <w:right w:val="none" w:sz="0" w:space="0" w:color="auto"/>
      </w:divBdr>
    </w:div>
    <w:div w:id="992486498">
      <w:bodyDiv w:val="1"/>
      <w:marLeft w:val="0"/>
      <w:marRight w:val="0"/>
      <w:marTop w:val="0"/>
      <w:marBottom w:val="0"/>
      <w:divBdr>
        <w:top w:val="none" w:sz="0" w:space="0" w:color="auto"/>
        <w:left w:val="none" w:sz="0" w:space="0" w:color="auto"/>
        <w:bottom w:val="none" w:sz="0" w:space="0" w:color="auto"/>
        <w:right w:val="none" w:sz="0" w:space="0" w:color="auto"/>
      </w:divBdr>
      <w:divsChild>
        <w:div w:id="1591498659">
          <w:marLeft w:val="0"/>
          <w:marRight w:val="0"/>
          <w:marTop w:val="0"/>
          <w:marBottom w:val="0"/>
          <w:divBdr>
            <w:top w:val="none" w:sz="0" w:space="0" w:color="auto"/>
            <w:left w:val="none" w:sz="0" w:space="0" w:color="auto"/>
            <w:bottom w:val="none" w:sz="0" w:space="0" w:color="auto"/>
            <w:right w:val="none" w:sz="0" w:space="0" w:color="auto"/>
          </w:divBdr>
        </w:div>
      </w:divsChild>
    </w:div>
    <w:div w:id="1005670650">
      <w:bodyDiv w:val="1"/>
      <w:marLeft w:val="0"/>
      <w:marRight w:val="0"/>
      <w:marTop w:val="0"/>
      <w:marBottom w:val="0"/>
      <w:divBdr>
        <w:top w:val="none" w:sz="0" w:space="0" w:color="auto"/>
        <w:left w:val="none" w:sz="0" w:space="0" w:color="auto"/>
        <w:bottom w:val="none" w:sz="0" w:space="0" w:color="auto"/>
        <w:right w:val="none" w:sz="0" w:space="0" w:color="auto"/>
      </w:divBdr>
    </w:div>
    <w:div w:id="1022824828">
      <w:bodyDiv w:val="1"/>
      <w:marLeft w:val="0"/>
      <w:marRight w:val="0"/>
      <w:marTop w:val="0"/>
      <w:marBottom w:val="0"/>
      <w:divBdr>
        <w:top w:val="none" w:sz="0" w:space="0" w:color="auto"/>
        <w:left w:val="none" w:sz="0" w:space="0" w:color="auto"/>
        <w:bottom w:val="none" w:sz="0" w:space="0" w:color="auto"/>
        <w:right w:val="none" w:sz="0" w:space="0" w:color="auto"/>
      </w:divBdr>
    </w:div>
    <w:div w:id="1035423003">
      <w:bodyDiv w:val="1"/>
      <w:marLeft w:val="0"/>
      <w:marRight w:val="0"/>
      <w:marTop w:val="0"/>
      <w:marBottom w:val="0"/>
      <w:divBdr>
        <w:top w:val="none" w:sz="0" w:space="0" w:color="auto"/>
        <w:left w:val="none" w:sz="0" w:space="0" w:color="auto"/>
        <w:bottom w:val="none" w:sz="0" w:space="0" w:color="auto"/>
        <w:right w:val="none" w:sz="0" w:space="0" w:color="auto"/>
      </w:divBdr>
    </w:div>
    <w:div w:id="1037856616">
      <w:bodyDiv w:val="1"/>
      <w:marLeft w:val="0"/>
      <w:marRight w:val="0"/>
      <w:marTop w:val="0"/>
      <w:marBottom w:val="0"/>
      <w:divBdr>
        <w:top w:val="none" w:sz="0" w:space="0" w:color="auto"/>
        <w:left w:val="none" w:sz="0" w:space="0" w:color="auto"/>
        <w:bottom w:val="none" w:sz="0" w:space="0" w:color="auto"/>
        <w:right w:val="none" w:sz="0" w:space="0" w:color="auto"/>
      </w:divBdr>
    </w:div>
    <w:div w:id="1047874476">
      <w:bodyDiv w:val="1"/>
      <w:marLeft w:val="0"/>
      <w:marRight w:val="0"/>
      <w:marTop w:val="0"/>
      <w:marBottom w:val="0"/>
      <w:divBdr>
        <w:top w:val="none" w:sz="0" w:space="0" w:color="auto"/>
        <w:left w:val="none" w:sz="0" w:space="0" w:color="auto"/>
        <w:bottom w:val="none" w:sz="0" w:space="0" w:color="auto"/>
        <w:right w:val="none" w:sz="0" w:space="0" w:color="auto"/>
      </w:divBdr>
    </w:div>
    <w:div w:id="1072895765">
      <w:bodyDiv w:val="1"/>
      <w:marLeft w:val="0"/>
      <w:marRight w:val="0"/>
      <w:marTop w:val="0"/>
      <w:marBottom w:val="0"/>
      <w:divBdr>
        <w:top w:val="none" w:sz="0" w:space="0" w:color="auto"/>
        <w:left w:val="none" w:sz="0" w:space="0" w:color="auto"/>
        <w:bottom w:val="none" w:sz="0" w:space="0" w:color="auto"/>
        <w:right w:val="none" w:sz="0" w:space="0" w:color="auto"/>
      </w:divBdr>
      <w:divsChild>
        <w:div w:id="1372459284">
          <w:marLeft w:val="0"/>
          <w:marRight w:val="0"/>
          <w:marTop w:val="0"/>
          <w:marBottom w:val="0"/>
          <w:divBdr>
            <w:top w:val="none" w:sz="0" w:space="0" w:color="auto"/>
            <w:left w:val="none" w:sz="0" w:space="0" w:color="auto"/>
            <w:bottom w:val="none" w:sz="0" w:space="0" w:color="auto"/>
            <w:right w:val="none" w:sz="0" w:space="0" w:color="auto"/>
          </w:divBdr>
        </w:div>
      </w:divsChild>
    </w:div>
    <w:div w:id="1076853853">
      <w:bodyDiv w:val="1"/>
      <w:marLeft w:val="0"/>
      <w:marRight w:val="0"/>
      <w:marTop w:val="0"/>
      <w:marBottom w:val="0"/>
      <w:divBdr>
        <w:top w:val="none" w:sz="0" w:space="0" w:color="auto"/>
        <w:left w:val="none" w:sz="0" w:space="0" w:color="auto"/>
        <w:bottom w:val="none" w:sz="0" w:space="0" w:color="auto"/>
        <w:right w:val="none" w:sz="0" w:space="0" w:color="auto"/>
      </w:divBdr>
    </w:div>
    <w:div w:id="1076974355">
      <w:bodyDiv w:val="1"/>
      <w:marLeft w:val="0"/>
      <w:marRight w:val="0"/>
      <w:marTop w:val="0"/>
      <w:marBottom w:val="0"/>
      <w:divBdr>
        <w:top w:val="none" w:sz="0" w:space="0" w:color="auto"/>
        <w:left w:val="none" w:sz="0" w:space="0" w:color="auto"/>
        <w:bottom w:val="none" w:sz="0" w:space="0" w:color="auto"/>
        <w:right w:val="none" w:sz="0" w:space="0" w:color="auto"/>
      </w:divBdr>
    </w:div>
    <w:div w:id="1137527152">
      <w:bodyDiv w:val="1"/>
      <w:marLeft w:val="0"/>
      <w:marRight w:val="0"/>
      <w:marTop w:val="0"/>
      <w:marBottom w:val="0"/>
      <w:divBdr>
        <w:top w:val="none" w:sz="0" w:space="0" w:color="auto"/>
        <w:left w:val="none" w:sz="0" w:space="0" w:color="auto"/>
        <w:bottom w:val="none" w:sz="0" w:space="0" w:color="auto"/>
        <w:right w:val="none" w:sz="0" w:space="0" w:color="auto"/>
      </w:divBdr>
    </w:div>
    <w:div w:id="1174565287">
      <w:bodyDiv w:val="1"/>
      <w:marLeft w:val="0"/>
      <w:marRight w:val="0"/>
      <w:marTop w:val="0"/>
      <w:marBottom w:val="0"/>
      <w:divBdr>
        <w:top w:val="none" w:sz="0" w:space="0" w:color="auto"/>
        <w:left w:val="none" w:sz="0" w:space="0" w:color="auto"/>
        <w:bottom w:val="none" w:sz="0" w:space="0" w:color="auto"/>
        <w:right w:val="none" w:sz="0" w:space="0" w:color="auto"/>
      </w:divBdr>
      <w:divsChild>
        <w:div w:id="894318421">
          <w:marLeft w:val="605"/>
          <w:marRight w:val="0"/>
          <w:marTop w:val="120"/>
          <w:marBottom w:val="0"/>
          <w:divBdr>
            <w:top w:val="none" w:sz="0" w:space="0" w:color="auto"/>
            <w:left w:val="none" w:sz="0" w:space="0" w:color="auto"/>
            <w:bottom w:val="none" w:sz="0" w:space="0" w:color="auto"/>
            <w:right w:val="none" w:sz="0" w:space="0" w:color="auto"/>
          </w:divBdr>
        </w:div>
      </w:divsChild>
    </w:div>
    <w:div w:id="1179658817">
      <w:bodyDiv w:val="1"/>
      <w:marLeft w:val="0"/>
      <w:marRight w:val="0"/>
      <w:marTop w:val="0"/>
      <w:marBottom w:val="0"/>
      <w:divBdr>
        <w:top w:val="none" w:sz="0" w:space="0" w:color="auto"/>
        <w:left w:val="none" w:sz="0" w:space="0" w:color="auto"/>
        <w:bottom w:val="none" w:sz="0" w:space="0" w:color="auto"/>
        <w:right w:val="none" w:sz="0" w:space="0" w:color="auto"/>
      </w:divBdr>
    </w:div>
    <w:div w:id="1191649128">
      <w:bodyDiv w:val="1"/>
      <w:marLeft w:val="0"/>
      <w:marRight w:val="0"/>
      <w:marTop w:val="0"/>
      <w:marBottom w:val="0"/>
      <w:divBdr>
        <w:top w:val="none" w:sz="0" w:space="0" w:color="auto"/>
        <w:left w:val="none" w:sz="0" w:space="0" w:color="auto"/>
        <w:bottom w:val="none" w:sz="0" w:space="0" w:color="auto"/>
        <w:right w:val="none" w:sz="0" w:space="0" w:color="auto"/>
      </w:divBdr>
    </w:div>
    <w:div w:id="1207179838">
      <w:bodyDiv w:val="1"/>
      <w:marLeft w:val="0"/>
      <w:marRight w:val="0"/>
      <w:marTop w:val="0"/>
      <w:marBottom w:val="0"/>
      <w:divBdr>
        <w:top w:val="none" w:sz="0" w:space="0" w:color="auto"/>
        <w:left w:val="none" w:sz="0" w:space="0" w:color="auto"/>
        <w:bottom w:val="none" w:sz="0" w:space="0" w:color="auto"/>
        <w:right w:val="none" w:sz="0" w:space="0" w:color="auto"/>
      </w:divBdr>
    </w:div>
    <w:div w:id="1224678014">
      <w:bodyDiv w:val="1"/>
      <w:marLeft w:val="0"/>
      <w:marRight w:val="0"/>
      <w:marTop w:val="0"/>
      <w:marBottom w:val="0"/>
      <w:divBdr>
        <w:top w:val="none" w:sz="0" w:space="0" w:color="auto"/>
        <w:left w:val="none" w:sz="0" w:space="0" w:color="auto"/>
        <w:bottom w:val="none" w:sz="0" w:space="0" w:color="auto"/>
        <w:right w:val="none" w:sz="0" w:space="0" w:color="auto"/>
      </w:divBdr>
    </w:div>
    <w:div w:id="1237014369">
      <w:bodyDiv w:val="1"/>
      <w:marLeft w:val="0"/>
      <w:marRight w:val="0"/>
      <w:marTop w:val="0"/>
      <w:marBottom w:val="0"/>
      <w:divBdr>
        <w:top w:val="none" w:sz="0" w:space="0" w:color="auto"/>
        <w:left w:val="none" w:sz="0" w:space="0" w:color="auto"/>
        <w:bottom w:val="none" w:sz="0" w:space="0" w:color="auto"/>
        <w:right w:val="none" w:sz="0" w:space="0" w:color="auto"/>
      </w:divBdr>
    </w:div>
    <w:div w:id="1251087841">
      <w:bodyDiv w:val="1"/>
      <w:marLeft w:val="0"/>
      <w:marRight w:val="0"/>
      <w:marTop w:val="0"/>
      <w:marBottom w:val="0"/>
      <w:divBdr>
        <w:top w:val="none" w:sz="0" w:space="0" w:color="auto"/>
        <w:left w:val="none" w:sz="0" w:space="0" w:color="auto"/>
        <w:bottom w:val="none" w:sz="0" w:space="0" w:color="auto"/>
        <w:right w:val="none" w:sz="0" w:space="0" w:color="auto"/>
      </w:divBdr>
    </w:div>
    <w:div w:id="1255825947">
      <w:bodyDiv w:val="1"/>
      <w:marLeft w:val="0"/>
      <w:marRight w:val="0"/>
      <w:marTop w:val="0"/>
      <w:marBottom w:val="0"/>
      <w:divBdr>
        <w:top w:val="none" w:sz="0" w:space="0" w:color="auto"/>
        <w:left w:val="none" w:sz="0" w:space="0" w:color="auto"/>
        <w:bottom w:val="none" w:sz="0" w:space="0" w:color="auto"/>
        <w:right w:val="none" w:sz="0" w:space="0" w:color="auto"/>
      </w:divBdr>
    </w:div>
    <w:div w:id="1283920126">
      <w:bodyDiv w:val="1"/>
      <w:marLeft w:val="0"/>
      <w:marRight w:val="0"/>
      <w:marTop w:val="0"/>
      <w:marBottom w:val="0"/>
      <w:divBdr>
        <w:top w:val="none" w:sz="0" w:space="0" w:color="auto"/>
        <w:left w:val="none" w:sz="0" w:space="0" w:color="auto"/>
        <w:bottom w:val="none" w:sz="0" w:space="0" w:color="auto"/>
        <w:right w:val="none" w:sz="0" w:space="0" w:color="auto"/>
      </w:divBdr>
    </w:div>
    <w:div w:id="1285430013">
      <w:bodyDiv w:val="1"/>
      <w:marLeft w:val="0"/>
      <w:marRight w:val="0"/>
      <w:marTop w:val="0"/>
      <w:marBottom w:val="0"/>
      <w:divBdr>
        <w:top w:val="none" w:sz="0" w:space="0" w:color="auto"/>
        <w:left w:val="none" w:sz="0" w:space="0" w:color="auto"/>
        <w:bottom w:val="none" w:sz="0" w:space="0" w:color="auto"/>
        <w:right w:val="none" w:sz="0" w:space="0" w:color="auto"/>
      </w:divBdr>
    </w:div>
    <w:div w:id="1289355787">
      <w:bodyDiv w:val="1"/>
      <w:marLeft w:val="0"/>
      <w:marRight w:val="0"/>
      <w:marTop w:val="0"/>
      <w:marBottom w:val="0"/>
      <w:divBdr>
        <w:top w:val="none" w:sz="0" w:space="0" w:color="auto"/>
        <w:left w:val="none" w:sz="0" w:space="0" w:color="auto"/>
        <w:bottom w:val="none" w:sz="0" w:space="0" w:color="auto"/>
        <w:right w:val="none" w:sz="0" w:space="0" w:color="auto"/>
      </w:divBdr>
    </w:div>
    <w:div w:id="1306274568">
      <w:bodyDiv w:val="1"/>
      <w:marLeft w:val="0"/>
      <w:marRight w:val="0"/>
      <w:marTop w:val="0"/>
      <w:marBottom w:val="0"/>
      <w:divBdr>
        <w:top w:val="none" w:sz="0" w:space="0" w:color="auto"/>
        <w:left w:val="none" w:sz="0" w:space="0" w:color="auto"/>
        <w:bottom w:val="none" w:sz="0" w:space="0" w:color="auto"/>
        <w:right w:val="none" w:sz="0" w:space="0" w:color="auto"/>
      </w:divBdr>
    </w:div>
    <w:div w:id="1320616333">
      <w:bodyDiv w:val="1"/>
      <w:marLeft w:val="0"/>
      <w:marRight w:val="0"/>
      <w:marTop w:val="0"/>
      <w:marBottom w:val="0"/>
      <w:divBdr>
        <w:top w:val="none" w:sz="0" w:space="0" w:color="auto"/>
        <w:left w:val="none" w:sz="0" w:space="0" w:color="auto"/>
        <w:bottom w:val="none" w:sz="0" w:space="0" w:color="auto"/>
        <w:right w:val="none" w:sz="0" w:space="0" w:color="auto"/>
      </w:divBdr>
    </w:div>
    <w:div w:id="1332565332">
      <w:bodyDiv w:val="1"/>
      <w:marLeft w:val="0"/>
      <w:marRight w:val="0"/>
      <w:marTop w:val="0"/>
      <w:marBottom w:val="0"/>
      <w:divBdr>
        <w:top w:val="none" w:sz="0" w:space="0" w:color="auto"/>
        <w:left w:val="none" w:sz="0" w:space="0" w:color="auto"/>
        <w:bottom w:val="none" w:sz="0" w:space="0" w:color="auto"/>
        <w:right w:val="none" w:sz="0" w:space="0" w:color="auto"/>
      </w:divBdr>
    </w:div>
    <w:div w:id="1340085008">
      <w:bodyDiv w:val="1"/>
      <w:marLeft w:val="0"/>
      <w:marRight w:val="0"/>
      <w:marTop w:val="0"/>
      <w:marBottom w:val="0"/>
      <w:divBdr>
        <w:top w:val="none" w:sz="0" w:space="0" w:color="auto"/>
        <w:left w:val="none" w:sz="0" w:space="0" w:color="auto"/>
        <w:bottom w:val="none" w:sz="0" w:space="0" w:color="auto"/>
        <w:right w:val="none" w:sz="0" w:space="0" w:color="auto"/>
      </w:divBdr>
    </w:div>
    <w:div w:id="1340231826">
      <w:bodyDiv w:val="1"/>
      <w:marLeft w:val="0"/>
      <w:marRight w:val="0"/>
      <w:marTop w:val="0"/>
      <w:marBottom w:val="0"/>
      <w:divBdr>
        <w:top w:val="none" w:sz="0" w:space="0" w:color="auto"/>
        <w:left w:val="none" w:sz="0" w:space="0" w:color="auto"/>
        <w:bottom w:val="none" w:sz="0" w:space="0" w:color="auto"/>
        <w:right w:val="none" w:sz="0" w:space="0" w:color="auto"/>
      </w:divBdr>
    </w:div>
    <w:div w:id="1350176991">
      <w:bodyDiv w:val="1"/>
      <w:marLeft w:val="0"/>
      <w:marRight w:val="0"/>
      <w:marTop w:val="0"/>
      <w:marBottom w:val="0"/>
      <w:divBdr>
        <w:top w:val="none" w:sz="0" w:space="0" w:color="auto"/>
        <w:left w:val="none" w:sz="0" w:space="0" w:color="auto"/>
        <w:bottom w:val="none" w:sz="0" w:space="0" w:color="auto"/>
        <w:right w:val="none" w:sz="0" w:space="0" w:color="auto"/>
      </w:divBdr>
      <w:divsChild>
        <w:div w:id="1220751766">
          <w:marLeft w:val="446"/>
          <w:marRight w:val="0"/>
          <w:marTop w:val="0"/>
          <w:marBottom w:val="0"/>
          <w:divBdr>
            <w:top w:val="none" w:sz="0" w:space="0" w:color="auto"/>
            <w:left w:val="none" w:sz="0" w:space="0" w:color="auto"/>
            <w:bottom w:val="none" w:sz="0" w:space="0" w:color="auto"/>
            <w:right w:val="none" w:sz="0" w:space="0" w:color="auto"/>
          </w:divBdr>
        </w:div>
        <w:div w:id="1407679402">
          <w:marLeft w:val="446"/>
          <w:marRight w:val="0"/>
          <w:marTop w:val="0"/>
          <w:marBottom w:val="0"/>
          <w:divBdr>
            <w:top w:val="none" w:sz="0" w:space="0" w:color="auto"/>
            <w:left w:val="none" w:sz="0" w:space="0" w:color="auto"/>
            <w:bottom w:val="none" w:sz="0" w:space="0" w:color="auto"/>
            <w:right w:val="none" w:sz="0" w:space="0" w:color="auto"/>
          </w:divBdr>
        </w:div>
      </w:divsChild>
    </w:div>
    <w:div w:id="1371296486">
      <w:bodyDiv w:val="1"/>
      <w:marLeft w:val="0"/>
      <w:marRight w:val="0"/>
      <w:marTop w:val="0"/>
      <w:marBottom w:val="0"/>
      <w:divBdr>
        <w:top w:val="none" w:sz="0" w:space="0" w:color="auto"/>
        <w:left w:val="none" w:sz="0" w:space="0" w:color="auto"/>
        <w:bottom w:val="none" w:sz="0" w:space="0" w:color="auto"/>
        <w:right w:val="none" w:sz="0" w:space="0" w:color="auto"/>
      </w:divBdr>
    </w:div>
    <w:div w:id="1386181671">
      <w:bodyDiv w:val="1"/>
      <w:marLeft w:val="0"/>
      <w:marRight w:val="0"/>
      <w:marTop w:val="0"/>
      <w:marBottom w:val="0"/>
      <w:divBdr>
        <w:top w:val="none" w:sz="0" w:space="0" w:color="auto"/>
        <w:left w:val="none" w:sz="0" w:space="0" w:color="auto"/>
        <w:bottom w:val="none" w:sz="0" w:space="0" w:color="auto"/>
        <w:right w:val="none" w:sz="0" w:space="0" w:color="auto"/>
      </w:divBdr>
    </w:div>
    <w:div w:id="1432581864">
      <w:bodyDiv w:val="1"/>
      <w:marLeft w:val="0"/>
      <w:marRight w:val="0"/>
      <w:marTop w:val="0"/>
      <w:marBottom w:val="0"/>
      <w:divBdr>
        <w:top w:val="none" w:sz="0" w:space="0" w:color="auto"/>
        <w:left w:val="none" w:sz="0" w:space="0" w:color="auto"/>
        <w:bottom w:val="none" w:sz="0" w:space="0" w:color="auto"/>
        <w:right w:val="none" w:sz="0" w:space="0" w:color="auto"/>
      </w:divBdr>
    </w:div>
    <w:div w:id="1440880247">
      <w:bodyDiv w:val="1"/>
      <w:marLeft w:val="0"/>
      <w:marRight w:val="0"/>
      <w:marTop w:val="0"/>
      <w:marBottom w:val="0"/>
      <w:divBdr>
        <w:top w:val="none" w:sz="0" w:space="0" w:color="auto"/>
        <w:left w:val="none" w:sz="0" w:space="0" w:color="auto"/>
        <w:bottom w:val="none" w:sz="0" w:space="0" w:color="auto"/>
        <w:right w:val="none" w:sz="0" w:space="0" w:color="auto"/>
      </w:divBdr>
    </w:div>
    <w:div w:id="1458067465">
      <w:bodyDiv w:val="1"/>
      <w:marLeft w:val="0"/>
      <w:marRight w:val="0"/>
      <w:marTop w:val="0"/>
      <w:marBottom w:val="0"/>
      <w:divBdr>
        <w:top w:val="none" w:sz="0" w:space="0" w:color="auto"/>
        <w:left w:val="none" w:sz="0" w:space="0" w:color="auto"/>
        <w:bottom w:val="none" w:sz="0" w:space="0" w:color="auto"/>
        <w:right w:val="none" w:sz="0" w:space="0" w:color="auto"/>
      </w:divBdr>
      <w:divsChild>
        <w:div w:id="1322662905">
          <w:marLeft w:val="0"/>
          <w:marRight w:val="0"/>
          <w:marTop w:val="0"/>
          <w:marBottom w:val="0"/>
          <w:divBdr>
            <w:top w:val="none" w:sz="0" w:space="0" w:color="auto"/>
            <w:left w:val="none" w:sz="0" w:space="0" w:color="auto"/>
            <w:bottom w:val="none" w:sz="0" w:space="0" w:color="auto"/>
            <w:right w:val="none" w:sz="0" w:space="0" w:color="auto"/>
          </w:divBdr>
        </w:div>
      </w:divsChild>
    </w:div>
    <w:div w:id="1464230154">
      <w:bodyDiv w:val="1"/>
      <w:marLeft w:val="0"/>
      <w:marRight w:val="0"/>
      <w:marTop w:val="0"/>
      <w:marBottom w:val="0"/>
      <w:divBdr>
        <w:top w:val="none" w:sz="0" w:space="0" w:color="auto"/>
        <w:left w:val="none" w:sz="0" w:space="0" w:color="auto"/>
        <w:bottom w:val="none" w:sz="0" w:space="0" w:color="auto"/>
        <w:right w:val="none" w:sz="0" w:space="0" w:color="auto"/>
      </w:divBdr>
    </w:div>
    <w:div w:id="1474905715">
      <w:bodyDiv w:val="1"/>
      <w:marLeft w:val="0"/>
      <w:marRight w:val="0"/>
      <w:marTop w:val="0"/>
      <w:marBottom w:val="0"/>
      <w:divBdr>
        <w:top w:val="none" w:sz="0" w:space="0" w:color="auto"/>
        <w:left w:val="none" w:sz="0" w:space="0" w:color="auto"/>
        <w:bottom w:val="none" w:sz="0" w:space="0" w:color="auto"/>
        <w:right w:val="none" w:sz="0" w:space="0" w:color="auto"/>
      </w:divBdr>
    </w:div>
    <w:div w:id="1480537836">
      <w:bodyDiv w:val="1"/>
      <w:marLeft w:val="0"/>
      <w:marRight w:val="0"/>
      <w:marTop w:val="0"/>
      <w:marBottom w:val="0"/>
      <w:divBdr>
        <w:top w:val="none" w:sz="0" w:space="0" w:color="auto"/>
        <w:left w:val="none" w:sz="0" w:space="0" w:color="auto"/>
        <w:bottom w:val="none" w:sz="0" w:space="0" w:color="auto"/>
        <w:right w:val="none" w:sz="0" w:space="0" w:color="auto"/>
      </w:divBdr>
    </w:div>
    <w:div w:id="1504197034">
      <w:bodyDiv w:val="1"/>
      <w:marLeft w:val="0"/>
      <w:marRight w:val="0"/>
      <w:marTop w:val="0"/>
      <w:marBottom w:val="0"/>
      <w:divBdr>
        <w:top w:val="none" w:sz="0" w:space="0" w:color="auto"/>
        <w:left w:val="none" w:sz="0" w:space="0" w:color="auto"/>
        <w:bottom w:val="none" w:sz="0" w:space="0" w:color="auto"/>
        <w:right w:val="none" w:sz="0" w:space="0" w:color="auto"/>
      </w:divBdr>
      <w:divsChild>
        <w:div w:id="1101144347">
          <w:marLeft w:val="446"/>
          <w:marRight w:val="0"/>
          <w:marTop w:val="120"/>
          <w:marBottom w:val="120"/>
          <w:divBdr>
            <w:top w:val="none" w:sz="0" w:space="0" w:color="auto"/>
            <w:left w:val="none" w:sz="0" w:space="0" w:color="auto"/>
            <w:bottom w:val="none" w:sz="0" w:space="0" w:color="auto"/>
            <w:right w:val="none" w:sz="0" w:space="0" w:color="auto"/>
          </w:divBdr>
        </w:div>
        <w:div w:id="2106997102">
          <w:marLeft w:val="446"/>
          <w:marRight w:val="0"/>
          <w:marTop w:val="120"/>
          <w:marBottom w:val="120"/>
          <w:divBdr>
            <w:top w:val="none" w:sz="0" w:space="0" w:color="auto"/>
            <w:left w:val="none" w:sz="0" w:space="0" w:color="auto"/>
            <w:bottom w:val="none" w:sz="0" w:space="0" w:color="auto"/>
            <w:right w:val="none" w:sz="0" w:space="0" w:color="auto"/>
          </w:divBdr>
        </w:div>
      </w:divsChild>
    </w:div>
    <w:div w:id="1531261202">
      <w:bodyDiv w:val="1"/>
      <w:marLeft w:val="0"/>
      <w:marRight w:val="0"/>
      <w:marTop w:val="0"/>
      <w:marBottom w:val="0"/>
      <w:divBdr>
        <w:top w:val="none" w:sz="0" w:space="0" w:color="auto"/>
        <w:left w:val="none" w:sz="0" w:space="0" w:color="auto"/>
        <w:bottom w:val="none" w:sz="0" w:space="0" w:color="auto"/>
        <w:right w:val="none" w:sz="0" w:space="0" w:color="auto"/>
      </w:divBdr>
    </w:div>
    <w:div w:id="1534226293">
      <w:bodyDiv w:val="1"/>
      <w:marLeft w:val="0"/>
      <w:marRight w:val="0"/>
      <w:marTop w:val="0"/>
      <w:marBottom w:val="0"/>
      <w:divBdr>
        <w:top w:val="none" w:sz="0" w:space="0" w:color="auto"/>
        <w:left w:val="none" w:sz="0" w:space="0" w:color="auto"/>
        <w:bottom w:val="none" w:sz="0" w:space="0" w:color="auto"/>
        <w:right w:val="none" w:sz="0" w:space="0" w:color="auto"/>
      </w:divBdr>
      <w:divsChild>
        <w:div w:id="1191800178">
          <w:marLeft w:val="0"/>
          <w:marRight w:val="0"/>
          <w:marTop w:val="450"/>
          <w:marBottom w:val="0"/>
          <w:divBdr>
            <w:top w:val="none" w:sz="0" w:space="0" w:color="auto"/>
            <w:left w:val="none" w:sz="0" w:space="0" w:color="auto"/>
            <w:bottom w:val="none" w:sz="0" w:space="0" w:color="auto"/>
            <w:right w:val="none" w:sz="0" w:space="0" w:color="auto"/>
          </w:divBdr>
          <w:divsChild>
            <w:div w:id="643462387">
              <w:marLeft w:val="0"/>
              <w:marRight w:val="0"/>
              <w:marTop w:val="0"/>
              <w:marBottom w:val="0"/>
              <w:divBdr>
                <w:top w:val="none" w:sz="0" w:space="0" w:color="auto"/>
                <w:left w:val="none" w:sz="0" w:space="0" w:color="auto"/>
                <w:bottom w:val="none" w:sz="0" w:space="0" w:color="auto"/>
                <w:right w:val="none" w:sz="0" w:space="0" w:color="auto"/>
              </w:divBdr>
            </w:div>
            <w:div w:id="1254126861">
              <w:marLeft w:val="0"/>
              <w:marRight w:val="0"/>
              <w:marTop w:val="0"/>
              <w:marBottom w:val="0"/>
              <w:divBdr>
                <w:top w:val="none" w:sz="0" w:space="0" w:color="auto"/>
                <w:left w:val="none" w:sz="0" w:space="0" w:color="auto"/>
                <w:bottom w:val="none" w:sz="0" w:space="0" w:color="auto"/>
                <w:right w:val="none" w:sz="0" w:space="0" w:color="auto"/>
              </w:divBdr>
            </w:div>
          </w:divsChild>
        </w:div>
        <w:div w:id="1503160689">
          <w:marLeft w:val="0"/>
          <w:marRight w:val="461"/>
          <w:marTop w:val="450"/>
          <w:marBottom w:val="0"/>
          <w:divBdr>
            <w:top w:val="none" w:sz="0" w:space="0" w:color="auto"/>
            <w:left w:val="none" w:sz="0" w:space="0" w:color="auto"/>
            <w:bottom w:val="none" w:sz="0" w:space="0" w:color="auto"/>
            <w:right w:val="none" w:sz="0" w:space="0" w:color="auto"/>
          </w:divBdr>
        </w:div>
      </w:divsChild>
    </w:div>
    <w:div w:id="1556039164">
      <w:bodyDiv w:val="1"/>
      <w:marLeft w:val="0"/>
      <w:marRight w:val="0"/>
      <w:marTop w:val="0"/>
      <w:marBottom w:val="0"/>
      <w:divBdr>
        <w:top w:val="none" w:sz="0" w:space="0" w:color="auto"/>
        <w:left w:val="none" w:sz="0" w:space="0" w:color="auto"/>
        <w:bottom w:val="none" w:sz="0" w:space="0" w:color="auto"/>
        <w:right w:val="none" w:sz="0" w:space="0" w:color="auto"/>
      </w:divBdr>
    </w:div>
    <w:div w:id="1562668497">
      <w:bodyDiv w:val="1"/>
      <w:marLeft w:val="0"/>
      <w:marRight w:val="0"/>
      <w:marTop w:val="0"/>
      <w:marBottom w:val="0"/>
      <w:divBdr>
        <w:top w:val="none" w:sz="0" w:space="0" w:color="auto"/>
        <w:left w:val="none" w:sz="0" w:space="0" w:color="auto"/>
        <w:bottom w:val="none" w:sz="0" w:space="0" w:color="auto"/>
        <w:right w:val="none" w:sz="0" w:space="0" w:color="auto"/>
      </w:divBdr>
    </w:div>
    <w:div w:id="1577201757">
      <w:bodyDiv w:val="1"/>
      <w:marLeft w:val="0"/>
      <w:marRight w:val="0"/>
      <w:marTop w:val="0"/>
      <w:marBottom w:val="0"/>
      <w:divBdr>
        <w:top w:val="none" w:sz="0" w:space="0" w:color="auto"/>
        <w:left w:val="none" w:sz="0" w:space="0" w:color="auto"/>
        <w:bottom w:val="none" w:sz="0" w:space="0" w:color="auto"/>
        <w:right w:val="none" w:sz="0" w:space="0" w:color="auto"/>
      </w:divBdr>
    </w:div>
    <w:div w:id="1586527776">
      <w:bodyDiv w:val="1"/>
      <w:marLeft w:val="0"/>
      <w:marRight w:val="0"/>
      <w:marTop w:val="0"/>
      <w:marBottom w:val="0"/>
      <w:divBdr>
        <w:top w:val="none" w:sz="0" w:space="0" w:color="auto"/>
        <w:left w:val="none" w:sz="0" w:space="0" w:color="auto"/>
        <w:bottom w:val="none" w:sz="0" w:space="0" w:color="auto"/>
        <w:right w:val="none" w:sz="0" w:space="0" w:color="auto"/>
      </w:divBdr>
      <w:divsChild>
        <w:div w:id="1986936108">
          <w:marLeft w:val="446"/>
          <w:marRight w:val="0"/>
          <w:marTop w:val="86"/>
          <w:marBottom w:val="120"/>
          <w:divBdr>
            <w:top w:val="none" w:sz="0" w:space="0" w:color="auto"/>
            <w:left w:val="none" w:sz="0" w:space="0" w:color="auto"/>
            <w:bottom w:val="none" w:sz="0" w:space="0" w:color="auto"/>
            <w:right w:val="none" w:sz="0" w:space="0" w:color="auto"/>
          </w:divBdr>
        </w:div>
      </w:divsChild>
    </w:div>
    <w:div w:id="1607039503">
      <w:bodyDiv w:val="1"/>
      <w:marLeft w:val="0"/>
      <w:marRight w:val="0"/>
      <w:marTop w:val="0"/>
      <w:marBottom w:val="0"/>
      <w:divBdr>
        <w:top w:val="none" w:sz="0" w:space="0" w:color="auto"/>
        <w:left w:val="none" w:sz="0" w:space="0" w:color="auto"/>
        <w:bottom w:val="none" w:sz="0" w:space="0" w:color="auto"/>
        <w:right w:val="none" w:sz="0" w:space="0" w:color="auto"/>
      </w:divBdr>
      <w:divsChild>
        <w:div w:id="99645017">
          <w:marLeft w:val="605"/>
          <w:marRight w:val="0"/>
          <w:marTop w:val="120"/>
          <w:marBottom w:val="120"/>
          <w:divBdr>
            <w:top w:val="none" w:sz="0" w:space="0" w:color="auto"/>
            <w:left w:val="none" w:sz="0" w:space="0" w:color="auto"/>
            <w:bottom w:val="none" w:sz="0" w:space="0" w:color="auto"/>
            <w:right w:val="none" w:sz="0" w:space="0" w:color="auto"/>
          </w:divBdr>
        </w:div>
        <w:div w:id="529952007">
          <w:marLeft w:val="605"/>
          <w:marRight w:val="0"/>
          <w:marTop w:val="120"/>
          <w:marBottom w:val="120"/>
          <w:divBdr>
            <w:top w:val="none" w:sz="0" w:space="0" w:color="auto"/>
            <w:left w:val="none" w:sz="0" w:space="0" w:color="auto"/>
            <w:bottom w:val="none" w:sz="0" w:space="0" w:color="auto"/>
            <w:right w:val="none" w:sz="0" w:space="0" w:color="auto"/>
          </w:divBdr>
        </w:div>
        <w:div w:id="975526302">
          <w:marLeft w:val="1325"/>
          <w:marRight w:val="0"/>
          <w:marTop w:val="120"/>
          <w:marBottom w:val="120"/>
          <w:divBdr>
            <w:top w:val="none" w:sz="0" w:space="0" w:color="auto"/>
            <w:left w:val="none" w:sz="0" w:space="0" w:color="auto"/>
            <w:bottom w:val="none" w:sz="0" w:space="0" w:color="auto"/>
            <w:right w:val="none" w:sz="0" w:space="0" w:color="auto"/>
          </w:divBdr>
        </w:div>
        <w:div w:id="1308627817">
          <w:marLeft w:val="605"/>
          <w:marRight w:val="0"/>
          <w:marTop w:val="120"/>
          <w:marBottom w:val="120"/>
          <w:divBdr>
            <w:top w:val="none" w:sz="0" w:space="0" w:color="auto"/>
            <w:left w:val="none" w:sz="0" w:space="0" w:color="auto"/>
            <w:bottom w:val="none" w:sz="0" w:space="0" w:color="auto"/>
            <w:right w:val="none" w:sz="0" w:space="0" w:color="auto"/>
          </w:divBdr>
        </w:div>
        <w:div w:id="1606116332">
          <w:marLeft w:val="605"/>
          <w:marRight w:val="0"/>
          <w:marTop w:val="120"/>
          <w:marBottom w:val="120"/>
          <w:divBdr>
            <w:top w:val="none" w:sz="0" w:space="0" w:color="auto"/>
            <w:left w:val="none" w:sz="0" w:space="0" w:color="auto"/>
            <w:bottom w:val="none" w:sz="0" w:space="0" w:color="auto"/>
            <w:right w:val="none" w:sz="0" w:space="0" w:color="auto"/>
          </w:divBdr>
        </w:div>
      </w:divsChild>
    </w:div>
    <w:div w:id="1626034400">
      <w:bodyDiv w:val="1"/>
      <w:marLeft w:val="0"/>
      <w:marRight w:val="0"/>
      <w:marTop w:val="0"/>
      <w:marBottom w:val="0"/>
      <w:divBdr>
        <w:top w:val="none" w:sz="0" w:space="0" w:color="auto"/>
        <w:left w:val="none" w:sz="0" w:space="0" w:color="auto"/>
        <w:bottom w:val="none" w:sz="0" w:space="0" w:color="auto"/>
        <w:right w:val="none" w:sz="0" w:space="0" w:color="auto"/>
      </w:divBdr>
      <w:divsChild>
        <w:div w:id="1763186692">
          <w:marLeft w:val="0"/>
          <w:marRight w:val="0"/>
          <w:marTop w:val="0"/>
          <w:marBottom w:val="0"/>
          <w:divBdr>
            <w:top w:val="none" w:sz="0" w:space="0" w:color="auto"/>
            <w:left w:val="none" w:sz="0" w:space="0" w:color="auto"/>
            <w:bottom w:val="none" w:sz="0" w:space="0" w:color="auto"/>
            <w:right w:val="none" w:sz="0" w:space="0" w:color="auto"/>
          </w:divBdr>
        </w:div>
      </w:divsChild>
    </w:div>
    <w:div w:id="1667976946">
      <w:bodyDiv w:val="1"/>
      <w:marLeft w:val="0"/>
      <w:marRight w:val="0"/>
      <w:marTop w:val="0"/>
      <w:marBottom w:val="0"/>
      <w:divBdr>
        <w:top w:val="none" w:sz="0" w:space="0" w:color="auto"/>
        <w:left w:val="none" w:sz="0" w:space="0" w:color="auto"/>
        <w:bottom w:val="none" w:sz="0" w:space="0" w:color="auto"/>
        <w:right w:val="none" w:sz="0" w:space="0" w:color="auto"/>
      </w:divBdr>
    </w:div>
    <w:div w:id="1714691192">
      <w:bodyDiv w:val="1"/>
      <w:marLeft w:val="0"/>
      <w:marRight w:val="0"/>
      <w:marTop w:val="0"/>
      <w:marBottom w:val="0"/>
      <w:divBdr>
        <w:top w:val="none" w:sz="0" w:space="0" w:color="auto"/>
        <w:left w:val="none" w:sz="0" w:space="0" w:color="auto"/>
        <w:bottom w:val="none" w:sz="0" w:space="0" w:color="auto"/>
        <w:right w:val="none" w:sz="0" w:space="0" w:color="auto"/>
      </w:divBdr>
    </w:div>
    <w:div w:id="1722054162">
      <w:bodyDiv w:val="1"/>
      <w:marLeft w:val="0"/>
      <w:marRight w:val="0"/>
      <w:marTop w:val="0"/>
      <w:marBottom w:val="0"/>
      <w:divBdr>
        <w:top w:val="none" w:sz="0" w:space="0" w:color="auto"/>
        <w:left w:val="none" w:sz="0" w:space="0" w:color="auto"/>
        <w:bottom w:val="none" w:sz="0" w:space="0" w:color="auto"/>
        <w:right w:val="none" w:sz="0" w:space="0" w:color="auto"/>
      </w:divBdr>
    </w:div>
    <w:div w:id="1727294853">
      <w:bodyDiv w:val="1"/>
      <w:marLeft w:val="0"/>
      <w:marRight w:val="0"/>
      <w:marTop w:val="0"/>
      <w:marBottom w:val="0"/>
      <w:divBdr>
        <w:top w:val="none" w:sz="0" w:space="0" w:color="auto"/>
        <w:left w:val="none" w:sz="0" w:space="0" w:color="auto"/>
        <w:bottom w:val="none" w:sz="0" w:space="0" w:color="auto"/>
        <w:right w:val="none" w:sz="0" w:space="0" w:color="auto"/>
      </w:divBdr>
    </w:div>
    <w:div w:id="1735273529">
      <w:bodyDiv w:val="1"/>
      <w:marLeft w:val="0"/>
      <w:marRight w:val="0"/>
      <w:marTop w:val="0"/>
      <w:marBottom w:val="0"/>
      <w:divBdr>
        <w:top w:val="none" w:sz="0" w:space="0" w:color="auto"/>
        <w:left w:val="none" w:sz="0" w:space="0" w:color="auto"/>
        <w:bottom w:val="none" w:sz="0" w:space="0" w:color="auto"/>
        <w:right w:val="none" w:sz="0" w:space="0" w:color="auto"/>
      </w:divBdr>
    </w:div>
    <w:div w:id="1737896831">
      <w:bodyDiv w:val="1"/>
      <w:marLeft w:val="0"/>
      <w:marRight w:val="0"/>
      <w:marTop w:val="0"/>
      <w:marBottom w:val="0"/>
      <w:divBdr>
        <w:top w:val="none" w:sz="0" w:space="0" w:color="auto"/>
        <w:left w:val="none" w:sz="0" w:space="0" w:color="auto"/>
        <w:bottom w:val="none" w:sz="0" w:space="0" w:color="auto"/>
        <w:right w:val="none" w:sz="0" w:space="0" w:color="auto"/>
      </w:divBdr>
      <w:divsChild>
        <w:div w:id="653804084">
          <w:marLeft w:val="0"/>
          <w:marRight w:val="0"/>
          <w:marTop w:val="450"/>
          <w:marBottom w:val="0"/>
          <w:divBdr>
            <w:top w:val="none" w:sz="0" w:space="0" w:color="auto"/>
            <w:left w:val="none" w:sz="0" w:space="0" w:color="auto"/>
            <w:bottom w:val="none" w:sz="0" w:space="0" w:color="auto"/>
            <w:right w:val="none" w:sz="0" w:space="0" w:color="auto"/>
          </w:divBdr>
          <w:divsChild>
            <w:div w:id="1126242439">
              <w:marLeft w:val="0"/>
              <w:marRight w:val="0"/>
              <w:marTop w:val="0"/>
              <w:marBottom w:val="0"/>
              <w:divBdr>
                <w:top w:val="none" w:sz="0" w:space="0" w:color="auto"/>
                <w:left w:val="none" w:sz="0" w:space="0" w:color="auto"/>
                <w:bottom w:val="none" w:sz="0" w:space="0" w:color="auto"/>
                <w:right w:val="none" w:sz="0" w:space="0" w:color="auto"/>
              </w:divBdr>
            </w:div>
            <w:div w:id="1840191637">
              <w:marLeft w:val="0"/>
              <w:marRight w:val="0"/>
              <w:marTop w:val="0"/>
              <w:marBottom w:val="0"/>
              <w:divBdr>
                <w:top w:val="none" w:sz="0" w:space="0" w:color="auto"/>
                <w:left w:val="none" w:sz="0" w:space="0" w:color="auto"/>
                <w:bottom w:val="none" w:sz="0" w:space="0" w:color="auto"/>
                <w:right w:val="none" w:sz="0" w:space="0" w:color="auto"/>
              </w:divBdr>
            </w:div>
          </w:divsChild>
        </w:div>
        <w:div w:id="695234369">
          <w:marLeft w:val="0"/>
          <w:marRight w:val="461"/>
          <w:marTop w:val="450"/>
          <w:marBottom w:val="0"/>
          <w:divBdr>
            <w:top w:val="none" w:sz="0" w:space="0" w:color="auto"/>
            <w:left w:val="none" w:sz="0" w:space="0" w:color="auto"/>
            <w:bottom w:val="none" w:sz="0" w:space="0" w:color="auto"/>
            <w:right w:val="none" w:sz="0" w:space="0" w:color="auto"/>
          </w:divBdr>
        </w:div>
      </w:divsChild>
    </w:div>
    <w:div w:id="1744450348">
      <w:bodyDiv w:val="1"/>
      <w:marLeft w:val="0"/>
      <w:marRight w:val="0"/>
      <w:marTop w:val="0"/>
      <w:marBottom w:val="0"/>
      <w:divBdr>
        <w:top w:val="none" w:sz="0" w:space="0" w:color="auto"/>
        <w:left w:val="none" w:sz="0" w:space="0" w:color="auto"/>
        <w:bottom w:val="none" w:sz="0" w:space="0" w:color="auto"/>
        <w:right w:val="none" w:sz="0" w:space="0" w:color="auto"/>
      </w:divBdr>
    </w:div>
    <w:div w:id="1761758204">
      <w:bodyDiv w:val="1"/>
      <w:marLeft w:val="0"/>
      <w:marRight w:val="0"/>
      <w:marTop w:val="0"/>
      <w:marBottom w:val="0"/>
      <w:divBdr>
        <w:top w:val="none" w:sz="0" w:space="0" w:color="auto"/>
        <w:left w:val="none" w:sz="0" w:space="0" w:color="auto"/>
        <w:bottom w:val="none" w:sz="0" w:space="0" w:color="auto"/>
        <w:right w:val="none" w:sz="0" w:space="0" w:color="auto"/>
      </w:divBdr>
      <w:divsChild>
        <w:div w:id="1368096077">
          <w:marLeft w:val="1325"/>
          <w:marRight w:val="0"/>
          <w:marTop w:val="120"/>
          <w:marBottom w:val="0"/>
          <w:divBdr>
            <w:top w:val="none" w:sz="0" w:space="0" w:color="auto"/>
            <w:left w:val="none" w:sz="0" w:space="0" w:color="auto"/>
            <w:bottom w:val="none" w:sz="0" w:space="0" w:color="auto"/>
            <w:right w:val="none" w:sz="0" w:space="0" w:color="auto"/>
          </w:divBdr>
        </w:div>
        <w:div w:id="1428237533">
          <w:marLeft w:val="605"/>
          <w:marRight w:val="0"/>
          <w:marTop w:val="120"/>
          <w:marBottom w:val="0"/>
          <w:divBdr>
            <w:top w:val="none" w:sz="0" w:space="0" w:color="auto"/>
            <w:left w:val="none" w:sz="0" w:space="0" w:color="auto"/>
            <w:bottom w:val="none" w:sz="0" w:space="0" w:color="auto"/>
            <w:right w:val="none" w:sz="0" w:space="0" w:color="auto"/>
          </w:divBdr>
        </w:div>
        <w:div w:id="1455489917">
          <w:marLeft w:val="605"/>
          <w:marRight w:val="0"/>
          <w:marTop w:val="120"/>
          <w:marBottom w:val="0"/>
          <w:divBdr>
            <w:top w:val="none" w:sz="0" w:space="0" w:color="auto"/>
            <w:left w:val="none" w:sz="0" w:space="0" w:color="auto"/>
            <w:bottom w:val="none" w:sz="0" w:space="0" w:color="auto"/>
            <w:right w:val="none" w:sz="0" w:space="0" w:color="auto"/>
          </w:divBdr>
        </w:div>
        <w:div w:id="1921136203">
          <w:marLeft w:val="605"/>
          <w:marRight w:val="0"/>
          <w:marTop w:val="120"/>
          <w:marBottom w:val="0"/>
          <w:divBdr>
            <w:top w:val="none" w:sz="0" w:space="0" w:color="auto"/>
            <w:left w:val="none" w:sz="0" w:space="0" w:color="auto"/>
            <w:bottom w:val="none" w:sz="0" w:space="0" w:color="auto"/>
            <w:right w:val="none" w:sz="0" w:space="0" w:color="auto"/>
          </w:divBdr>
        </w:div>
        <w:div w:id="2035498201">
          <w:marLeft w:val="605"/>
          <w:marRight w:val="0"/>
          <w:marTop w:val="120"/>
          <w:marBottom w:val="0"/>
          <w:divBdr>
            <w:top w:val="none" w:sz="0" w:space="0" w:color="auto"/>
            <w:left w:val="none" w:sz="0" w:space="0" w:color="auto"/>
            <w:bottom w:val="none" w:sz="0" w:space="0" w:color="auto"/>
            <w:right w:val="none" w:sz="0" w:space="0" w:color="auto"/>
          </w:divBdr>
        </w:div>
      </w:divsChild>
    </w:div>
    <w:div w:id="1777015309">
      <w:bodyDiv w:val="1"/>
      <w:marLeft w:val="0"/>
      <w:marRight w:val="0"/>
      <w:marTop w:val="0"/>
      <w:marBottom w:val="0"/>
      <w:divBdr>
        <w:top w:val="none" w:sz="0" w:space="0" w:color="auto"/>
        <w:left w:val="none" w:sz="0" w:space="0" w:color="auto"/>
        <w:bottom w:val="none" w:sz="0" w:space="0" w:color="auto"/>
        <w:right w:val="none" w:sz="0" w:space="0" w:color="auto"/>
      </w:divBdr>
    </w:div>
    <w:div w:id="1778712865">
      <w:bodyDiv w:val="1"/>
      <w:marLeft w:val="0"/>
      <w:marRight w:val="0"/>
      <w:marTop w:val="0"/>
      <w:marBottom w:val="0"/>
      <w:divBdr>
        <w:top w:val="none" w:sz="0" w:space="0" w:color="auto"/>
        <w:left w:val="none" w:sz="0" w:space="0" w:color="auto"/>
        <w:bottom w:val="none" w:sz="0" w:space="0" w:color="auto"/>
        <w:right w:val="none" w:sz="0" w:space="0" w:color="auto"/>
      </w:divBdr>
      <w:divsChild>
        <w:div w:id="1801607480">
          <w:marLeft w:val="446"/>
          <w:marRight w:val="0"/>
          <w:marTop w:val="120"/>
          <w:marBottom w:val="120"/>
          <w:divBdr>
            <w:top w:val="none" w:sz="0" w:space="0" w:color="auto"/>
            <w:left w:val="none" w:sz="0" w:space="0" w:color="auto"/>
            <w:bottom w:val="none" w:sz="0" w:space="0" w:color="auto"/>
            <w:right w:val="none" w:sz="0" w:space="0" w:color="auto"/>
          </w:divBdr>
        </w:div>
        <w:div w:id="1911650652">
          <w:marLeft w:val="446"/>
          <w:marRight w:val="0"/>
          <w:marTop w:val="120"/>
          <w:marBottom w:val="120"/>
          <w:divBdr>
            <w:top w:val="none" w:sz="0" w:space="0" w:color="auto"/>
            <w:left w:val="none" w:sz="0" w:space="0" w:color="auto"/>
            <w:bottom w:val="none" w:sz="0" w:space="0" w:color="auto"/>
            <w:right w:val="none" w:sz="0" w:space="0" w:color="auto"/>
          </w:divBdr>
        </w:div>
      </w:divsChild>
    </w:div>
    <w:div w:id="1827476712">
      <w:bodyDiv w:val="1"/>
      <w:marLeft w:val="0"/>
      <w:marRight w:val="0"/>
      <w:marTop w:val="0"/>
      <w:marBottom w:val="0"/>
      <w:divBdr>
        <w:top w:val="none" w:sz="0" w:space="0" w:color="auto"/>
        <w:left w:val="none" w:sz="0" w:space="0" w:color="auto"/>
        <w:bottom w:val="none" w:sz="0" w:space="0" w:color="auto"/>
        <w:right w:val="none" w:sz="0" w:space="0" w:color="auto"/>
      </w:divBdr>
      <w:divsChild>
        <w:div w:id="248583366">
          <w:marLeft w:val="994"/>
          <w:marRight w:val="0"/>
          <w:marTop w:val="0"/>
          <w:marBottom w:val="120"/>
          <w:divBdr>
            <w:top w:val="none" w:sz="0" w:space="0" w:color="auto"/>
            <w:left w:val="none" w:sz="0" w:space="0" w:color="auto"/>
            <w:bottom w:val="none" w:sz="0" w:space="0" w:color="auto"/>
            <w:right w:val="none" w:sz="0" w:space="0" w:color="auto"/>
          </w:divBdr>
        </w:div>
        <w:div w:id="387265685">
          <w:marLeft w:val="994"/>
          <w:marRight w:val="0"/>
          <w:marTop w:val="0"/>
          <w:marBottom w:val="120"/>
          <w:divBdr>
            <w:top w:val="none" w:sz="0" w:space="0" w:color="auto"/>
            <w:left w:val="none" w:sz="0" w:space="0" w:color="auto"/>
            <w:bottom w:val="none" w:sz="0" w:space="0" w:color="auto"/>
            <w:right w:val="none" w:sz="0" w:space="0" w:color="auto"/>
          </w:divBdr>
        </w:div>
        <w:div w:id="787891413">
          <w:marLeft w:val="446"/>
          <w:marRight w:val="0"/>
          <w:marTop w:val="77"/>
          <w:marBottom w:val="120"/>
          <w:divBdr>
            <w:top w:val="none" w:sz="0" w:space="0" w:color="auto"/>
            <w:left w:val="none" w:sz="0" w:space="0" w:color="auto"/>
            <w:bottom w:val="none" w:sz="0" w:space="0" w:color="auto"/>
            <w:right w:val="none" w:sz="0" w:space="0" w:color="auto"/>
          </w:divBdr>
        </w:div>
        <w:div w:id="975570837">
          <w:marLeft w:val="446"/>
          <w:marRight w:val="0"/>
          <w:marTop w:val="0"/>
          <w:marBottom w:val="120"/>
          <w:divBdr>
            <w:top w:val="none" w:sz="0" w:space="0" w:color="auto"/>
            <w:left w:val="none" w:sz="0" w:space="0" w:color="auto"/>
            <w:bottom w:val="none" w:sz="0" w:space="0" w:color="auto"/>
            <w:right w:val="none" w:sz="0" w:space="0" w:color="auto"/>
          </w:divBdr>
        </w:div>
        <w:div w:id="1287463922">
          <w:marLeft w:val="446"/>
          <w:marRight w:val="0"/>
          <w:marTop w:val="77"/>
          <w:marBottom w:val="120"/>
          <w:divBdr>
            <w:top w:val="none" w:sz="0" w:space="0" w:color="auto"/>
            <w:left w:val="none" w:sz="0" w:space="0" w:color="auto"/>
            <w:bottom w:val="none" w:sz="0" w:space="0" w:color="auto"/>
            <w:right w:val="none" w:sz="0" w:space="0" w:color="auto"/>
          </w:divBdr>
        </w:div>
        <w:div w:id="1334068701">
          <w:marLeft w:val="994"/>
          <w:marRight w:val="0"/>
          <w:marTop w:val="0"/>
          <w:marBottom w:val="120"/>
          <w:divBdr>
            <w:top w:val="none" w:sz="0" w:space="0" w:color="auto"/>
            <w:left w:val="none" w:sz="0" w:space="0" w:color="auto"/>
            <w:bottom w:val="none" w:sz="0" w:space="0" w:color="auto"/>
            <w:right w:val="none" w:sz="0" w:space="0" w:color="auto"/>
          </w:divBdr>
        </w:div>
        <w:div w:id="1382243017">
          <w:marLeft w:val="994"/>
          <w:marRight w:val="0"/>
          <w:marTop w:val="0"/>
          <w:marBottom w:val="120"/>
          <w:divBdr>
            <w:top w:val="none" w:sz="0" w:space="0" w:color="auto"/>
            <w:left w:val="none" w:sz="0" w:space="0" w:color="auto"/>
            <w:bottom w:val="none" w:sz="0" w:space="0" w:color="auto"/>
            <w:right w:val="none" w:sz="0" w:space="0" w:color="auto"/>
          </w:divBdr>
        </w:div>
        <w:div w:id="1461266942">
          <w:marLeft w:val="446"/>
          <w:marRight w:val="0"/>
          <w:marTop w:val="0"/>
          <w:marBottom w:val="120"/>
          <w:divBdr>
            <w:top w:val="none" w:sz="0" w:space="0" w:color="auto"/>
            <w:left w:val="none" w:sz="0" w:space="0" w:color="auto"/>
            <w:bottom w:val="none" w:sz="0" w:space="0" w:color="auto"/>
            <w:right w:val="none" w:sz="0" w:space="0" w:color="auto"/>
          </w:divBdr>
        </w:div>
        <w:div w:id="2046059988">
          <w:marLeft w:val="446"/>
          <w:marRight w:val="0"/>
          <w:marTop w:val="77"/>
          <w:marBottom w:val="120"/>
          <w:divBdr>
            <w:top w:val="none" w:sz="0" w:space="0" w:color="auto"/>
            <w:left w:val="none" w:sz="0" w:space="0" w:color="auto"/>
            <w:bottom w:val="none" w:sz="0" w:space="0" w:color="auto"/>
            <w:right w:val="none" w:sz="0" w:space="0" w:color="auto"/>
          </w:divBdr>
        </w:div>
        <w:div w:id="2065332135">
          <w:marLeft w:val="994"/>
          <w:marRight w:val="0"/>
          <w:marTop w:val="0"/>
          <w:marBottom w:val="120"/>
          <w:divBdr>
            <w:top w:val="none" w:sz="0" w:space="0" w:color="auto"/>
            <w:left w:val="none" w:sz="0" w:space="0" w:color="auto"/>
            <w:bottom w:val="none" w:sz="0" w:space="0" w:color="auto"/>
            <w:right w:val="none" w:sz="0" w:space="0" w:color="auto"/>
          </w:divBdr>
        </w:div>
        <w:div w:id="2068800405">
          <w:marLeft w:val="446"/>
          <w:marRight w:val="0"/>
          <w:marTop w:val="0"/>
          <w:marBottom w:val="120"/>
          <w:divBdr>
            <w:top w:val="none" w:sz="0" w:space="0" w:color="auto"/>
            <w:left w:val="none" w:sz="0" w:space="0" w:color="auto"/>
            <w:bottom w:val="none" w:sz="0" w:space="0" w:color="auto"/>
            <w:right w:val="none" w:sz="0" w:space="0" w:color="auto"/>
          </w:divBdr>
        </w:div>
        <w:div w:id="2105033781">
          <w:marLeft w:val="446"/>
          <w:marRight w:val="0"/>
          <w:marTop w:val="77"/>
          <w:marBottom w:val="120"/>
          <w:divBdr>
            <w:top w:val="none" w:sz="0" w:space="0" w:color="auto"/>
            <w:left w:val="none" w:sz="0" w:space="0" w:color="auto"/>
            <w:bottom w:val="none" w:sz="0" w:space="0" w:color="auto"/>
            <w:right w:val="none" w:sz="0" w:space="0" w:color="auto"/>
          </w:divBdr>
        </w:div>
      </w:divsChild>
    </w:div>
    <w:div w:id="1832066921">
      <w:bodyDiv w:val="1"/>
      <w:marLeft w:val="0"/>
      <w:marRight w:val="0"/>
      <w:marTop w:val="0"/>
      <w:marBottom w:val="0"/>
      <w:divBdr>
        <w:top w:val="none" w:sz="0" w:space="0" w:color="auto"/>
        <w:left w:val="none" w:sz="0" w:space="0" w:color="auto"/>
        <w:bottom w:val="none" w:sz="0" w:space="0" w:color="auto"/>
        <w:right w:val="none" w:sz="0" w:space="0" w:color="auto"/>
      </w:divBdr>
    </w:div>
    <w:div w:id="1835952232">
      <w:bodyDiv w:val="1"/>
      <w:marLeft w:val="0"/>
      <w:marRight w:val="0"/>
      <w:marTop w:val="0"/>
      <w:marBottom w:val="0"/>
      <w:divBdr>
        <w:top w:val="none" w:sz="0" w:space="0" w:color="auto"/>
        <w:left w:val="none" w:sz="0" w:space="0" w:color="auto"/>
        <w:bottom w:val="none" w:sz="0" w:space="0" w:color="auto"/>
        <w:right w:val="none" w:sz="0" w:space="0" w:color="auto"/>
      </w:divBdr>
    </w:div>
    <w:div w:id="1864662790">
      <w:bodyDiv w:val="1"/>
      <w:marLeft w:val="0"/>
      <w:marRight w:val="0"/>
      <w:marTop w:val="0"/>
      <w:marBottom w:val="0"/>
      <w:divBdr>
        <w:top w:val="none" w:sz="0" w:space="0" w:color="auto"/>
        <w:left w:val="none" w:sz="0" w:space="0" w:color="auto"/>
        <w:bottom w:val="none" w:sz="0" w:space="0" w:color="auto"/>
        <w:right w:val="none" w:sz="0" w:space="0" w:color="auto"/>
      </w:divBdr>
    </w:div>
    <w:div w:id="1882327440">
      <w:bodyDiv w:val="1"/>
      <w:marLeft w:val="0"/>
      <w:marRight w:val="0"/>
      <w:marTop w:val="0"/>
      <w:marBottom w:val="0"/>
      <w:divBdr>
        <w:top w:val="none" w:sz="0" w:space="0" w:color="auto"/>
        <w:left w:val="none" w:sz="0" w:space="0" w:color="auto"/>
        <w:bottom w:val="none" w:sz="0" w:space="0" w:color="auto"/>
        <w:right w:val="none" w:sz="0" w:space="0" w:color="auto"/>
      </w:divBdr>
    </w:div>
    <w:div w:id="1896119666">
      <w:bodyDiv w:val="1"/>
      <w:marLeft w:val="0"/>
      <w:marRight w:val="0"/>
      <w:marTop w:val="0"/>
      <w:marBottom w:val="0"/>
      <w:divBdr>
        <w:top w:val="none" w:sz="0" w:space="0" w:color="auto"/>
        <w:left w:val="none" w:sz="0" w:space="0" w:color="auto"/>
        <w:bottom w:val="none" w:sz="0" w:space="0" w:color="auto"/>
        <w:right w:val="none" w:sz="0" w:space="0" w:color="auto"/>
      </w:divBdr>
    </w:div>
    <w:div w:id="1898857918">
      <w:bodyDiv w:val="1"/>
      <w:marLeft w:val="0"/>
      <w:marRight w:val="0"/>
      <w:marTop w:val="0"/>
      <w:marBottom w:val="0"/>
      <w:divBdr>
        <w:top w:val="none" w:sz="0" w:space="0" w:color="auto"/>
        <w:left w:val="none" w:sz="0" w:space="0" w:color="auto"/>
        <w:bottom w:val="none" w:sz="0" w:space="0" w:color="auto"/>
        <w:right w:val="none" w:sz="0" w:space="0" w:color="auto"/>
      </w:divBdr>
    </w:div>
    <w:div w:id="1904637638">
      <w:bodyDiv w:val="1"/>
      <w:marLeft w:val="0"/>
      <w:marRight w:val="0"/>
      <w:marTop w:val="0"/>
      <w:marBottom w:val="0"/>
      <w:divBdr>
        <w:top w:val="none" w:sz="0" w:space="0" w:color="auto"/>
        <w:left w:val="none" w:sz="0" w:space="0" w:color="auto"/>
        <w:bottom w:val="none" w:sz="0" w:space="0" w:color="auto"/>
        <w:right w:val="none" w:sz="0" w:space="0" w:color="auto"/>
      </w:divBdr>
    </w:div>
    <w:div w:id="1909027140">
      <w:bodyDiv w:val="1"/>
      <w:marLeft w:val="0"/>
      <w:marRight w:val="0"/>
      <w:marTop w:val="0"/>
      <w:marBottom w:val="0"/>
      <w:divBdr>
        <w:top w:val="none" w:sz="0" w:space="0" w:color="auto"/>
        <w:left w:val="none" w:sz="0" w:space="0" w:color="auto"/>
        <w:bottom w:val="none" w:sz="0" w:space="0" w:color="auto"/>
        <w:right w:val="none" w:sz="0" w:space="0" w:color="auto"/>
      </w:divBdr>
    </w:div>
    <w:div w:id="1926762513">
      <w:bodyDiv w:val="1"/>
      <w:marLeft w:val="0"/>
      <w:marRight w:val="0"/>
      <w:marTop w:val="0"/>
      <w:marBottom w:val="0"/>
      <w:divBdr>
        <w:top w:val="none" w:sz="0" w:space="0" w:color="auto"/>
        <w:left w:val="none" w:sz="0" w:space="0" w:color="auto"/>
        <w:bottom w:val="none" w:sz="0" w:space="0" w:color="auto"/>
        <w:right w:val="none" w:sz="0" w:space="0" w:color="auto"/>
      </w:divBdr>
    </w:div>
    <w:div w:id="1943146615">
      <w:bodyDiv w:val="1"/>
      <w:marLeft w:val="0"/>
      <w:marRight w:val="0"/>
      <w:marTop w:val="0"/>
      <w:marBottom w:val="0"/>
      <w:divBdr>
        <w:top w:val="none" w:sz="0" w:space="0" w:color="auto"/>
        <w:left w:val="none" w:sz="0" w:space="0" w:color="auto"/>
        <w:bottom w:val="none" w:sz="0" w:space="0" w:color="auto"/>
        <w:right w:val="none" w:sz="0" w:space="0" w:color="auto"/>
      </w:divBdr>
    </w:div>
    <w:div w:id="1947762532">
      <w:bodyDiv w:val="1"/>
      <w:marLeft w:val="0"/>
      <w:marRight w:val="0"/>
      <w:marTop w:val="0"/>
      <w:marBottom w:val="0"/>
      <w:divBdr>
        <w:top w:val="none" w:sz="0" w:space="0" w:color="auto"/>
        <w:left w:val="none" w:sz="0" w:space="0" w:color="auto"/>
        <w:bottom w:val="none" w:sz="0" w:space="0" w:color="auto"/>
        <w:right w:val="none" w:sz="0" w:space="0" w:color="auto"/>
      </w:divBdr>
    </w:div>
    <w:div w:id="1952853052">
      <w:bodyDiv w:val="1"/>
      <w:marLeft w:val="0"/>
      <w:marRight w:val="0"/>
      <w:marTop w:val="0"/>
      <w:marBottom w:val="0"/>
      <w:divBdr>
        <w:top w:val="none" w:sz="0" w:space="0" w:color="auto"/>
        <w:left w:val="none" w:sz="0" w:space="0" w:color="auto"/>
        <w:bottom w:val="none" w:sz="0" w:space="0" w:color="auto"/>
        <w:right w:val="none" w:sz="0" w:space="0" w:color="auto"/>
      </w:divBdr>
    </w:div>
    <w:div w:id="1958677346">
      <w:bodyDiv w:val="1"/>
      <w:marLeft w:val="0"/>
      <w:marRight w:val="0"/>
      <w:marTop w:val="0"/>
      <w:marBottom w:val="0"/>
      <w:divBdr>
        <w:top w:val="none" w:sz="0" w:space="0" w:color="auto"/>
        <w:left w:val="none" w:sz="0" w:space="0" w:color="auto"/>
        <w:bottom w:val="none" w:sz="0" w:space="0" w:color="auto"/>
        <w:right w:val="none" w:sz="0" w:space="0" w:color="auto"/>
      </w:divBdr>
    </w:div>
    <w:div w:id="1987585259">
      <w:bodyDiv w:val="1"/>
      <w:marLeft w:val="0"/>
      <w:marRight w:val="0"/>
      <w:marTop w:val="0"/>
      <w:marBottom w:val="0"/>
      <w:divBdr>
        <w:top w:val="none" w:sz="0" w:space="0" w:color="auto"/>
        <w:left w:val="none" w:sz="0" w:space="0" w:color="auto"/>
        <w:bottom w:val="none" w:sz="0" w:space="0" w:color="auto"/>
        <w:right w:val="none" w:sz="0" w:space="0" w:color="auto"/>
      </w:divBdr>
    </w:div>
    <w:div w:id="1994292033">
      <w:bodyDiv w:val="1"/>
      <w:marLeft w:val="0"/>
      <w:marRight w:val="0"/>
      <w:marTop w:val="0"/>
      <w:marBottom w:val="0"/>
      <w:divBdr>
        <w:top w:val="none" w:sz="0" w:space="0" w:color="auto"/>
        <w:left w:val="none" w:sz="0" w:space="0" w:color="auto"/>
        <w:bottom w:val="none" w:sz="0" w:space="0" w:color="auto"/>
        <w:right w:val="none" w:sz="0" w:space="0" w:color="auto"/>
      </w:divBdr>
    </w:div>
    <w:div w:id="1995209530">
      <w:bodyDiv w:val="1"/>
      <w:marLeft w:val="0"/>
      <w:marRight w:val="0"/>
      <w:marTop w:val="0"/>
      <w:marBottom w:val="0"/>
      <w:divBdr>
        <w:top w:val="none" w:sz="0" w:space="0" w:color="auto"/>
        <w:left w:val="none" w:sz="0" w:space="0" w:color="auto"/>
        <w:bottom w:val="none" w:sz="0" w:space="0" w:color="auto"/>
        <w:right w:val="none" w:sz="0" w:space="0" w:color="auto"/>
      </w:divBdr>
    </w:div>
    <w:div w:id="2010059242">
      <w:bodyDiv w:val="1"/>
      <w:marLeft w:val="0"/>
      <w:marRight w:val="0"/>
      <w:marTop w:val="0"/>
      <w:marBottom w:val="0"/>
      <w:divBdr>
        <w:top w:val="none" w:sz="0" w:space="0" w:color="auto"/>
        <w:left w:val="none" w:sz="0" w:space="0" w:color="auto"/>
        <w:bottom w:val="none" w:sz="0" w:space="0" w:color="auto"/>
        <w:right w:val="none" w:sz="0" w:space="0" w:color="auto"/>
      </w:divBdr>
    </w:div>
    <w:div w:id="2039696464">
      <w:bodyDiv w:val="1"/>
      <w:marLeft w:val="0"/>
      <w:marRight w:val="0"/>
      <w:marTop w:val="0"/>
      <w:marBottom w:val="0"/>
      <w:divBdr>
        <w:top w:val="none" w:sz="0" w:space="0" w:color="auto"/>
        <w:left w:val="none" w:sz="0" w:space="0" w:color="auto"/>
        <w:bottom w:val="none" w:sz="0" w:space="0" w:color="auto"/>
        <w:right w:val="none" w:sz="0" w:space="0" w:color="auto"/>
      </w:divBdr>
    </w:div>
    <w:div w:id="2061855838">
      <w:bodyDiv w:val="1"/>
      <w:marLeft w:val="0"/>
      <w:marRight w:val="0"/>
      <w:marTop w:val="0"/>
      <w:marBottom w:val="0"/>
      <w:divBdr>
        <w:top w:val="none" w:sz="0" w:space="0" w:color="auto"/>
        <w:left w:val="none" w:sz="0" w:space="0" w:color="auto"/>
        <w:bottom w:val="none" w:sz="0" w:space="0" w:color="auto"/>
        <w:right w:val="none" w:sz="0" w:space="0" w:color="auto"/>
      </w:divBdr>
    </w:div>
    <w:div w:id="2080974694">
      <w:bodyDiv w:val="1"/>
      <w:marLeft w:val="0"/>
      <w:marRight w:val="0"/>
      <w:marTop w:val="0"/>
      <w:marBottom w:val="0"/>
      <w:divBdr>
        <w:top w:val="none" w:sz="0" w:space="0" w:color="auto"/>
        <w:left w:val="none" w:sz="0" w:space="0" w:color="auto"/>
        <w:bottom w:val="none" w:sz="0" w:space="0" w:color="auto"/>
        <w:right w:val="none" w:sz="0" w:space="0" w:color="auto"/>
      </w:divBdr>
    </w:div>
    <w:div w:id="2106000256">
      <w:bodyDiv w:val="1"/>
      <w:marLeft w:val="0"/>
      <w:marRight w:val="0"/>
      <w:marTop w:val="0"/>
      <w:marBottom w:val="0"/>
      <w:divBdr>
        <w:top w:val="none" w:sz="0" w:space="0" w:color="auto"/>
        <w:left w:val="none" w:sz="0" w:space="0" w:color="auto"/>
        <w:bottom w:val="none" w:sz="0" w:space="0" w:color="auto"/>
        <w:right w:val="none" w:sz="0" w:space="0" w:color="auto"/>
      </w:divBdr>
    </w:div>
    <w:div w:id="2109538907">
      <w:bodyDiv w:val="1"/>
      <w:marLeft w:val="0"/>
      <w:marRight w:val="0"/>
      <w:marTop w:val="0"/>
      <w:marBottom w:val="0"/>
      <w:divBdr>
        <w:top w:val="none" w:sz="0" w:space="0" w:color="auto"/>
        <w:left w:val="none" w:sz="0" w:space="0" w:color="auto"/>
        <w:bottom w:val="none" w:sz="0" w:space="0" w:color="auto"/>
        <w:right w:val="none" w:sz="0" w:space="0" w:color="auto"/>
      </w:divBdr>
      <w:divsChild>
        <w:div w:id="2102142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5438107">
      <w:bodyDiv w:val="1"/>
      <w:marLeft w:val="0"/>
      <w:marRight w:val="0"/>
      <w:marTop w:val="0"/>
      <w:marBottom w:val="0"/>
      <w:divBdr>
        <w:top w:val="none" w:sz="0" w:space="0" w:color="auto"/>
        <w:left w:val="none" w:sz="0" w:space="0" w:color="auto"/>
        <w:bottom w:val="none" w:sz="0" w:space="0" w:color="auto"/>
        <w:right w:val="none" w:sz="0" w:space="0" w:color="auto"/>
      </w:divBdr>
    </w:div>
    <w:div w:id="2125340219">
      <w:bodyDiv w:val="1"/>
      <w:marLeft w:val="0"/>
      <w:marRight w:val="0"/>
      <w:marTop w:val="0"/>
      <w:marBottom w:val="0"/>
      <w:divBdr>
        <w:top w:val="none" w:sz="0" w:space="0" w:color="auto"/>
        <w:left w:val="none" w:sz="0" w:space="0" w:color="auto"/>
        <w:bottom w:val="none" w:sz="0" w:space="0" w:color="auto"/>
        <w:right w:val="none" w:sz="0" w:space="0" w:color="auto"/>
      </w:divBdr>
    </w:div>
    <w:div w:id="2133091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amMember xmlns="0f3bfc5b-1213-47aa-8ff1-d9c769ffcf68">
      <UserInfo>
        <DisplayName/>
        <AccountId xsi:nil="true"/>
        <AccountType/>
      </UserInfo>
    </TeamMember>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E7168DA73E7D149A5C895091B8140E5" ma:contentTypeVersion="11" ma:contentTypeDescription="Create a new document." ma:contentTypeScope="" ma:versionID="1e756137fa7383e0c92f84a9d1cfd662">
  <xsd:schema xmlns:xsd="http://www.w3.org/2001/XMLSchema" xmlns:xs="http://www.w3.org/2001/XMLSchema" xmlns:p="http://schemas.microsoft.com/office/2006/metadata/properties" xmlns:ns2="0f3bfc5b-1213-47aa-8ff1-d9c769ffcf68" targetNamespace="http://schemas.microsoft.com/office/2006/metadata/properties" ma:root="true" ma:fieldsID="681d9a931d4c8e2091f52b944d74fd29" ns2:_="">
    <xsd:import namespace="0f3bfc5b-1213-47aa-8ff1-d9c769ffcf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TeamMember"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bfc5b-1213-47aa-8ff1-d9c769ffcf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TeamMember" ma:index="12" nillable="true" ma:displayName="Team Member" ma:format="Dropdown" ma:list="UserInfo" ma:SharePointGroup="0" ma:internalName="TeamMemb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234F7E-F110-45AA-993B-25BA60AD31EE}">
  <ds:schemaRefs>
    <ds:schemaRef ds:uri="http://schemas.microsoft.com/office/2006/metadata/properties"/>
    <ds:schemaRef ds:uri="http://schemas.microsoft.com/office/infopath/2007/PartnerControls"/>
    <ds:schemaRef ds:uri="0f3bfc5b-1213-47aa-8ff1-d9c769ffcf68"/>
  </ds:schemaRefs>
</ds:datastoreItem>
</file>

<file path=customXml/itemProps2.xml><?xml version="1.0" encoding="utf-8"?>
<ds:datastoreItem xmlns:ds="http://schemas.openxmlformats.org/officeDocument/2006/customXml" ds:itemID="{27C9D2BD-1688-4496-B45F-4E7A57E5E49C}">
  <ds:schemaRefs>
    <ds:schemaRef ds:uri="http://schemas.openxmlformats.org/officeDocument/2006/bibliography"/>
  </ds:schemaRefs>
</ds:datastoreItem>
</file>

<file path=customXml/itemProps3.xml><?xml version="1.0" encoding="utf-8"?>
<ds:datastoreItem xmlns:ds="http://schemas.openxmlformats.org/officeDocument/2006/customXml" ds:itemID="{2408B282-C888-4309-B7B5-1109F53B8A9C}">
  <ds:schemaRefs>
    <ds:schemaRef ds:uri="http://schemas.microsoft.com/sharepoint/v3/contenttype/forms"/>
  </ds:schemaRefs>
</ds:datastoreItem>
</file>

<file path=customXml/itemProps4.xml><?xml version="1.0" encoding="utf-8"?>
<ds:datastoreItem xmlns:ds="http://schemas.openxmlformats.org/officeDocument/2006/customXml" ds:itemID="{D285071F-46ED-471A-979E-7DFEC39B6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3bfc5b-1213-47aa-8ff1-d9c769ffcf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7236</Words>
  <Characters>41248</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Huang, PhD (MTM)</dc:creator>
  <cp:keywords/>
  <dc:description/>
  <cp:lastModifiedBy>Megan Allen, PhD (MTM)</cp:lastModifiedBy>
  <cp:revision>2</cp:revision>
  <cp:lastPrinted>2021-05-01T00:24:00Z</cp:lastPrinted>
  <dcterms:created xsi:type="dcterms:W3CDTF">2022-03-15T14:40:00Z</dcterms:created>
  <dcterms:modified xsi:type="dcterms:W3CDTF">2022-03-15T14:40:00Z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0x010100BE7168DA73E7D149A5C895091B8140E5</vt:lpwstr>
  </property>
</Properties>
</file>