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76BF" w14:textId="77777777" w:rsidR="002D0255" w:rsidRDefault="002D0255" w:rsidP="002D0255">
      <w:pPr>
        <w:pStyle w:val="Body"/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Appendix. VA Frailty Index Variables</w:t>
      </w:r>
    </w:p>
    <w:tbl>
      <w:tblPr>
        <w:tblW w:w="90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1"/>
        <w:gridCol w:w="3973"/>
        <w:gridCol w:w="461"/>
        <w:gridCol w:w="4195"/>
      </w:tblGrid>
      <w:tr w:rsidR="002D0255" w14:paraId="3E2E1325" w14:textId="77777777" w:rsidTr="003378BB">
        <w:trPr>
          <w:trHeight w:val="352"/>
        </w:trPr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4CA9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  <w:b/>
                <w:bCs/>
              </w:rPr>
              <w:t>Morbidity: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DCFFA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088D5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 xml:space="preserve">Fall or </w:t>
            </w:r>
            <w:proofErr w:type="gramStart"/>
            <w:r>
              <w:rPr>
                <w:rFonts w:ascii="Times New Roman" w:hAnsi="Times New Roman"/>
              </w:rPr>
              <w:t>Fall</w:t>
            </w:r>
            <w:proofErr w:type="gramEnd"/>
            <w:r>
              <w:rPr>
                <w:rFonts w:ascii="Times New Roman" w:hAnsi="Times New Roman"/>
              </w:rPr>
              <w:t xml:space="preserve"> related diagnoses</w:t>
            </w:r>
          </w:p>
        </w:tc>
      </w:tr>
      <w:tr w:rsidR="002D0255" w14:paraId="605DFE68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13C06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73E5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Anemia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D723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3FD01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Fatigue</w:t>
            </w:r>
          </w:p>
        </w:tc>
      </w:tr>
      <w:tr w:rsidR="002D0255" w14:paraId="5734AF68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BD1E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4D980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Atrial Fibrillation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E6C8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A53FC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 xml:space="preserve">Gait Abnormality </w:t>
            </w:r>
          </w:p>
        </w:tc>
      </w:tr>
      <w:tr w:rsidR="002D0255" w14:paraId="47DF4ADA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FFDA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90439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Cancer (except basal cell skin cancer)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B0C3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0E934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Parkinson’s Disease or Tremor Disorders</w:t>
            </w:r>
          </w:p>
        </w:tc>
      </w:tr>
      <w:tr w:rsidR="002D0255" w14:paraId="375076B9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7AAA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9B40F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Cerebrovascular disease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774B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65BE7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 xml:space="preserve">Peripheral vascular disease </w:t>
            </w:r>
          </w:p>
        </w:tc>
      </w:tr>
      <w:tr w:rsidR="002D0255" w14:paraId="0A3F40A2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6DD3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D1097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Coronary Artery Disease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61FF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6581E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Muscular wasting</w:t>
            </w:r>
          </w:p>
        </w:tc>
      </w:tr>
      <w:tr w:rsidR="002D0255" w14:paraId="148C63BE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3023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68BC6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Diabetes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1BB3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  <w:b/>
                <w:bCs/>
              </w:rPr>
              <w:t>Sensory Loss:</w:t>
            </w:r>
          </w:p>
        </w:tc>
      </w:tr>
      <w:tr w:rsidR="002D0255" w14:paraId="0CA581A8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2EF6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58363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 xml:space="preserve">Heart Failure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35A5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CDC1F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Hearing Impairment/Aid</w:t>
            </w:r>
          </w:p>
        </w:tc>
      </w:tr>
      <w:tr w:rsidR="002D0255" w14:paraId="1312BECA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CF31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5760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Hypertension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F024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56F12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Peripheral Neuropathy</w:t>
            </w:r>
          </w:p>
        </w:tc>
      </w:tr>
      <w:tr w:rsidR="002D0255" w14:paraId="510D2D60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F62B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99E98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Kidney Disease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184C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EBE74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Vision Impairment</w:t>
            </w:r>
          </w:p>
        </w:tc>
      </w:tr>
      <w:tr w:rsidR="002D0255" w14:paraId="3C5008EE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A66D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7624F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Liver Disease or Cirrhosis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722E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  <w:b/>
                <w:bCs/>
              </w:rPr>
              <w:t>Cognition and Mood:</w:t>
            </w:r>
          </w:p>
        </w:tc>
      </w:tr>
      <w:tr w:rsidR="002D0255" w14:paraId="159CC106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7178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4EEB9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Lung disease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F8CA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31F18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 xml:space="preserve">Dementias </w:t>
            </w:r>
          </w:p>
        </w:tc>
      </w:tr>
      <w:tr w:rsidR="002D0255" w14:paraId="70150B13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CCD6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FF66D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Thyroid Disease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6E6C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1C8E7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Anxiety</w:t>
            </w:r>
          </w:p>
        </w:tc>
      </w:tr>
      <w:tr w:rsidR="002D0255" w14:paraId="17366690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D657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C890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Osteoporosis or pathological fracture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E0A7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A442D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Mood Disorders</w:t>
            </w:r>
          </w:p>
        </w:tc>
      </w:tr>
      <w:tr w:rsidR="002D0255" w14:paraId="2AC443FA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971AA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A47F3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Incontinence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E9CE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  <w:b/>
                <w:bCs/>
              </w:rPr>
              <w:t>Other:</w:t>
            </w:r>
          </w:p>
        </w:tc>
      </w:tr>
      <w:tr w:rsidR="002D0255" w14:paraId="6EF4D45E" w14:textId="77777777" w:rsidTr="003378BB">
        <w:trPr>
          <w:trHeight w:val="352"/>
        </w:trPr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93E1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  <w:b/>
                <w:bCs/>
              </w:rPr>
              <w:t>Function: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F235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9C26D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Chronic Pain</w:t>
            </w:r>
          </w:p>
        </w:tc>
      </w:tr>
      <w:tr w:rsidR="002D0255" w14:paraId="6C9B3A49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41541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0493E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 xml:space="preserve">Arthritis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6ED7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72B76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Failure to thrive</w:t>
            </w:r>
          </w:p>
        </w:tc>
      </w:tr>
      <w:tr w:rsidR="002D0255" w14:paraId="75D814C5" w14:textId="77777777" w:rsidTr="003378BB">
        <w:trPr>
          <w:trHeight w:val="35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FC5B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8F006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Use of Durable Medical Equipment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DC2A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703C2" w14:textId="77777777" w:rsidR="002D0255" w:rsidRDefault="002D0255" w:rsidP="003378BB">
            <w:pPr>
              <w:pStyle w:val="Body"/>
              <w:widowControl w:val="0"/>
              <w:suppressAutoHyphens/>
              <w:spacing w:after="0" w:line="480" w:lineRule="auto"/>
            </w:pPr>
            <w:r>
              <w:rPr>
                <w:rFonts w:ascii="Times New Roman" w:hAnsi="Times New Roman"/>
              </w:rPr>
              <w:t>Weight loss in the past year</w:t>
            </w:r>
          </w:p>
        </w:tc>
      </w:tr>
    </w:tbl>
    <w:p w14:paraId="7DA1CDF6" w14:textId="3DC7457D" w:rsidR="002D0255" w:rsidRDefault="002D0255" w:rsidP="002D02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C19BE9" w14:textId="77777777" w:rsidR="00841326" w:rsidRDefault="00841326" w:rsidP="002D02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675512" w14:textId="77777777" w:rsidR="002D0255" w:rsidRPr="0061484E" w:rsidRDefault="002D0255" w:rsidP="002D0255">
      <w:pPr>
        <w:pStyle w:val="Body"/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  <w:r w:rsidRPr="0061484E">
        <w:rPr>
          <w:rFonts w:ascii="Times New Roman" w:hAnsi="Times New Roman"/>
          <w:b/>
          <w:bCs/>
        </w:rPr>
        <w:lastRenderedPageBreak/>
        <w:t>Supplementary Table 1: Comparison</w:t>
      </w:r>
      <w:r>
        <w:rPr>
          <w:rFonts w:ascii="Times New Roman" w:hAnsi="Times New Roman"/>
          <w:b/>
          <w:bCs/>
        </w:rPr>
        <w:t>s</w:t>
      </w:r>
      <w:r w:rsidRPr="0061484E">
        <w:rPr>
          <w:rFonts w:ascii="Times New Roman" w:hAnsi="Times New Roman"/>
          <w:b/>
          <w:bCs/>
        </w:rPr>
        <w:t xml:space="preserve"> betwe</w:t>
      </w:r>
      <w:r>
        <w:rPr>
          <w:rFonts w:ascii="Times New Roman" w:hAnsi="Times New Roman"/>
          <w:b/>
          <w:bCs/>
        </w:rPr>
        <w:t>e</w:t>
      </w:r>
      <w:r w:rsidRPr="0061484E">
        <w:rPr>
          <w:rFonts w:ascii="Times New Roman" w:hAnsi="Times New Roman"/>
          <w:b/>
          <w:bCs/>
        </w:rPr>
        <w:t>n Non-Responders and Responders</w:t>
      </w:r>
    </w:p>
    <w:tbl>
      <w:tblPr>
        <w:tblStyle w:val="Grilledutablea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920"/>
        <w:gridCol w:w="1920"/>
        <w:gridCol w:w="1920"/>
        <w:gridCol w:w="985"/>
      </w:tblGrid>
      <w:tr w:rsidR="002D0255" w:rsidRPr="0061484E" w14:paraId="5C1AB690" w14:textId="77777777" w:rsidTr="003378BB">
        <w:tc>
          <w:tcPr>
            <w:tcW w:w="2245" w:type="dxa"/>
            <w:tcBorders>
              <w:top w:val="single" w:sz="18" w:space="0" w:color="auto"/>
              <w:bottom w:val="single" w:sz="12" w:space="0" w:color="auto"/>
            </w:tcBorders>
          </w:tcPr>
          <w:p w14:paraId="6E37735F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18" w:space="0" w:color="auto"/>
              <w:bottom w:val="single" w:sz="12" w:space="0" w:color="auto"/>
            </w:tcBorders>
          </w:tcPr>
          <w:p w14:paraId="6051E990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84E">
              <w:rPr>
                <w:rFonts w:ascii="Times New Roman" w:hAnsi="Times New Roman" w:cs="Times New Roman"/>
                <w:b/>
                <w:bCs/>
              </w:rPr>
              <w:t>Non-Responders</w:t>
            </w:r>
          </w:p>
          <w:p w14:paraId="417A2270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84E">
              <w:rPr>
                <w:rFonts w:ascii="Times New Roman" w:hAnsi="Times New Roman" w:cs="Times New Roman"/>
                <w:b/>
                <w:bCs/>
              </w:rPr>
              <w:t>(n = 4,164, 79.5%)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12" w:space="0" w:color="auto"/>
            </w:tcBorders>
          </w:tcPr>
          <w:p w14:paraId="0587F676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84E">
              <w:rPr>
                <w:rFonts w:ascii="Times New Roman" w:hAnsi="Times New Roman" w:cs="Times New Roman"/>
                <w:b/>
                <w:bCs/>
              </w:rPr>
              <w:t xml:space="preserve">Responders </w:t>
            </w:r>
          </w:p>
          <w:p w14:paraId="4C06C331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84E">
              <w:rPr>
                <w:rFonts w:ascii="Times New Roman" w:hAnsi="Times New Roman" w:cs="Times New Roman"/>
                <w:b/>
                <w:bCs/>
              </w:rPr>
              <w:t>(n = 1,073, 19.8%)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12" w:space="0" w:color="auto"/>
            </w:tcBorders>
          </w:tcPr>
          <w:p w14:paraId="3A7AFCBA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84E">
              <w:rPr>
                <w:rFonts w:ascii="Times New Roman" w:hAnsi="Times New Roman" w:cs="Times New Roman"/>
                <w:b/>
                <w:bCs/>
              </w:rPr>
              <w:t xml:space="preserve">All </w:t>
            </w:r>
          </w:p>
          <w:p w14:paraId="1B3E41D1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84E">
              <w:rPr>
                <w:rFonts w:ascii="Times New Roman" w:hAnsi="Times New Roman" w:cs="Times New Roman"/>
                <w:b/>
                <w:bCs/>
              </w:rPr>
              <w:t>(n = 5,432†, 100%)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2" w:space="0" w:color="auto"/>
            </w:tcBorders>
          </w:tcPr>
          <w:p w14:paraId="3E6FA506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84E">
              <w:rPr>
                <w:rFonts w:ascii="Times New Roman" w:hAnsi="Times New Roman"/>
                <w:b/>
                <w:bCs/>
              </w:rPr>
              <w:t>p-value</w:t>
            </w:r>
          </w:p>
        </w:tc>
      </w:tr>
      <w:tr w:rsidR="002D0255" w:rsidRPr="0061484E" w14:paraId="61DAED29" w14:textId="77777777" w:rsidTr="003378BB">
        <w:tc>
          <w:tcPr>
            <w:tcW w:w="2245" w:type="dxa"/>
            <w:tcBorders>
              <w:top w:val="single" w:sz="12" w:space="0" w:color="auto"/>
            </w:tcBorders>
          </w:tcPr>
          <w:p w14:paraId="07DA94EC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48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Age, mean (SD)*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14:paraId="678FD6B5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65.4 (9.2)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14:paraId="142CC7B5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67.1 (9.1)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14:paraId="14F61817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65.8 (9.2)</w:t>
            </w:r>
          </w:p>
        </w:tc>
        <w:tc>
          <w:tcPr>
            <w:tcW w:w="985" w:type="dxa"/>
            <w:tcBorders>
              <w:top w:val="single" w:sz="12" w:space="0" w:color="auto"/>
            </w:tcBorders>
          </w:tcPr>
          <w:p w14:paraId="4006D9B6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&lt;.001</w:t>
            </w:r>
          </w:p>
        </w:tc>
      </w:tr>
      <w:tr w:rsidR="002D0255" w:rsidRPr="0061484E" w14:paraId="2016F443" w14:textId="77777777" w:rsidTr="003378BB">
        <w:tc>
          <w:tcPr>
            <w:tcW w:w="2245" w:type="dxa"/>
          </w:tcPr>
          <w:p w14:paraId="26C93A21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Males, n (%)</w:t>
            </w:r>
          </w:p>
        </w:tc>
        <w:tc>
          <w:tcPr>
            <w:tcW w:w="1920" w:type="dxa"/>
          </w:tcPr>
          <w:p w14:paraId="10C7BD9D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3,933 (94.5)</w:t>
            </w:r>
          </w:p>
        </w:tc>
        <w:tc>
          <w:tcPr>
            <w:tcW w:w="1920" w:type="dxa"/>
          </w:tcPr>
          <w:p w14:paraId="59C1D74C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1,015 (94.6)</w:t>
            </w:r>
          </w:p>
        </w:tc>
        <w:tc>
          <w:tcPr>
            <w:tcW w:w="1920" w:type="dxa"/>
          </w:tcPr>
          <w:p w14:paraId="7C6D5F57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4,948 (94.5)</w:t>
            </w:r>
          </w:p>
        </w:tc>
        <w:tc>
          <w:tcPr>
            <w:tcW w:w="985" w:type="dxa"/>
          </w:tcPr>
          <w:p w14:paraId="0AEF798E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.856</w:t>
            </w:r>
          </w:p>
        </w:tc>
      </w:tr>
      <w:tr w:rsidR="002D0255" w:rsidRPr="0061484E" w14:paraId="5969FAC1" w14:textId="77777777" w:rsidTr="003378BB">
        <w:tc>
          <w:tcPr>
            <w:tcW w:w="2245" w:type="dxa"/>
          </w:tcPr>
          <w:p w14:paraId="2BA5603E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Caucasian, n (%)</w:t>
            </w:r>
          </w:p>
        </w:tc>
        <w:tc>
          <w:tcPr>
            <w:tcW w:w="1920" w:type="dxa"/>
          </w:tcPr>
          <w:p w14:paraId="026A0351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1,748 (42.0)</w:t>
            </w:r>
          </w:p>
        </w:tc>
        <w:tc>
          <w:tcPr>
            <w:tcW w:w="1920" w:type="dxa"/>
          </w:tcPr>
          <w:p w14:paraId="380DF745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577 (53.8)</w:t>
            </w:r>
          </w:p>
        </w:tc>
        <w:tc>
          <w:tcPr>
            <w:tcW w:w="1920" w:type="dxa"/>
          </w:tcPr>
          <w:p w14:paraId="0AD3D86E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2,325 (44.4)</w:t>
            </w:r>
          </w:p>
        </w:tc>
        <w:tc>
          <w:tcPr>
            <w:tcW w:w="985" w:type="dxa"/>
          </w:tcPr>
          <w:p w14:paraId="7C22AD94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&lt;.001</w:t>
            </w:r>
          </w:p>
        </w:tc>
      </w:tr>
      <w:tr w:rsidR="002D0255" w:rsidRPr="0061484E" w14:paraId="6D78DD49" w14:textId="77777777" w:rsidTr="003378BB">
        <w:tc>
          <w:tcPr>
            <w:tcW w:w="2245" w:type="dxa"/>
          </w:tcPr>
          <w:p w14:paraId="51C59ED8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Non-Hispanic, n (%)</w:t>
            </w:r>
          </w:p>
        </w:tc>
        <w:tc>
          <w:tcPr>
            <w:tcW w:w="1920" w:type="dxa"/>
          </w:tcPr>
          <w:p w14:paraId="256BB16B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3,076 (74.4)</w:t>
            </w:r>
          </w:p>
        </w:tc>
        <w:tc>
          <w:tcPr>
            <w:tcW w:w="1920" w:type="dxa"/>
          </w:tcPr>
          <w:p w14:paraId="2F820D65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747 (70.1)</w:t>
            </w:r>
          </w:p>
        </w:tc>
        <w:tc>
          <w:tcPr>
            <w:tcW w:w="1920" w:type="dxa"/>
          </w:tcPr>
          <w:p w14:paraId="2B48A606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3,823 (73.5)</w:t>
            </w:r>
          </w:p>
        </w:tc>
        <w:tc>
          <w:tcPr>
            <w:tcW w:w="985" w:type="dxa"/>
          </w:tcPr>
          <w:p w14:paraId="1D15EEDA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.010</w:t>
            </w:r>
          </w:p>
        </w:tc>
      </w:tr>
      <w:tr w:rsidR="002D0255" w:rsidRPr="0061484E" w14:paraId="67BAB62C" w14:textId="77777777" w:rsidTr="003378BB">
        <w:tc>
          <w:tcPr>
            <w:tcW w:w="2245" w:type="dxa"/>
          </w:tcPr>
          <w:p w14:paraId="50CE2D48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Married, n (%)</w:t>
            </w:r>
          </w:p>
        </w:tc>
        <w:tc>
          <w:tcPr>
            <w:tcW w:w="1920" w:type="dxa"/>
          </w:tcPr>
          <w:p w14:paraId="10AC156D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1,556 (37.4)</w:t>
            </w:r>
          </w:p>
        </w:tc>
        <w:tc>
          <w:tcPr>
            <w:tcW w:w="1920" w:type="dxa"/>
          </w:tcPr>
          <w:p w14:paraId="34BEAA26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487 (45.4)</w:t>
            </w:r>
          </w:p>
        </w:tc>
        <w:tc>
          <w:tcPr>
            <w:tcW w:w="1920" w:type="dxa"/>
          </w:tcPr>
          <w:p w14:paraId="11924C73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2,043 (39.0)</w:t>
            </w:r>
          </w:p>
        </w:tc>
        <w:tc>
          <w:tcPr>
            <w:tcW w:w="985" w:type="dxa"/>
          </w:tcPr>
          <w:p w14:paraId="348B86AF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&lt;.001</w:t>
            </w:r>
          </w:p>
        </w:tc>
      </w:tr>
      <w:tr w:rsidR="002D0255" w:rsidRPr="0061484E" w14:paraId="367B2797" w14:textId="77777777" w:rsidTr="003378BB">
        <w:tc>
          <w:tcPr>
            <w:tcW w:w="2245" w:type="dxa"/>
            <w:tcBorders>
              <w:bottom w:val="single" w:sz="12" w:space="0" w:color="auto"/>
            </w:tcBorders>
          </w:tcPr>
          <w:p w14:paraId="00EBA495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Frail, n (%)</w:t>
            </w: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6B159F80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1,445 (34.7)</w:t>
            </w: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3794D442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394 (36.7)</w:t>
            </w: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639FB66D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1,839 (35.1)</w:t>
            </w:r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14:paraId="01265442" w14:textId="77777777" w:rsidR="002D0255" w:rsidRPr="0061484E" w:rsidRDefault="002D0255" w:rsidP="003378B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84E">
              <w:rPr>
                <w:rFonts w:ascii="Times New Roman" w:hAnsi="Times New Roman" w:cs="Times New Roman"/>
              </w:rPr>
              <w:t>0.217</w:t>
            </w:r>
          </w:p>
        </w:tc>
      </w:tr>
    </w:tbl>
    <w:p w14:paraId="2DAAADDD" w14:textId="77777777" w:rsidR="002D0255" w:rsidRDefault="002D0255" w:rsidP="002D0255">
      <w:pPr>
        <w:pStyle w:val="Body"/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u w:val="single"/>
        </w:rPr>
      </w:pPr>
    </w:p>
    <w:p w14:paraId="07DCCCB5" w14:textId="77777777" w:rsidR="002D0255" w:rsidRPr="00012554" w:rsidRDefault="002D0255" w:rsidP="002D0255">
      <w:pPr>
        <w:pStyle w:val="Paragraphedeliste"/>
        <w:widowControl w:val="0"/>
        <w:suppressAutoHyphens/>
        <w:spacing w:after="0" w:line="480" w:lineRule="auto"/>
        <w:ind w:left="0"/>
        <w:rPr>
          <w:rFonts w:ascii="Times New Roman" w:eastAsia="Times New Roman" w:hAnsi="Times New Roman" w:cs="Times New Roman"/>
          <w:u w:color="EB1400"/>
          <w:shd w:val="clear" w:color="auto" w:fill="FFFFFF"/>
        </w:rPr>
      </w:pPr>
      <w:r w:rsidRPr="00012554">
        <w:rPr>
          <w:rFonts w:ascii="Times New Roman" w:hAnsi="Times New Roman"/>
          <w:u w:color="EB1400"/>
          <w:shd w:val="clear" w:color="auto" w:fill="FFFFFF"/>
        </w:rPr>
        <w:t>*Non-normal distribution. Mann-Whitney U test was used for group comparisons. †The total number of mailings was 5,432. Patients with a diagnosis of dementia on baseline where excluded: 21 (responders) and 153 (non-responders). There was a total of 21 patients with missing data.</w:t>
      </w:r>
    </w:p>
    <w:p w14:paraId="18C58F01" w14:textId="77777777" w:rsidR="002D0255" w:rsidRDefault="002D0255"/>
    <w:sectPr w:rsidR="002D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55"/>
    <w:rsid w:val="002D0255"/>
    <w:rsid w:val="008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7BA31"/>
  <w15:chartTrackingRefBased/>
  <w15:docId w15:val="{054D83CE-8570-5E46-93C4-84CF360E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2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2D025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rsid w:val="002D025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None">
    <w:name w:val="None"/>
    <w:rsid w:val="002D0255"/>
  </w:style>
  <w:style w:type="table" w:styleId="Grilledutableau">
    <w:name w:val="Table Grid"/>
    <w:basedOn w:val="TableauNormal"/>
    <w:uiPriority w:val="39"/>
    <w:rsid w:val="002D02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2</cp:revision>
  <dcterms:created xsi:type="dcterms:W3CDTF">2021-09-12T05:10:00Z</dcterms:created>
  <dcterms:modified xsi:type="dcterms:W3CDTF">2021-10-05T04:16:00Z</dcterms:modified>
</cp:coreProperties>
</file>