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F8CA" w14:textId="77777777" w:rsidR="00F82160" w:rsidRDefault="00F82160" w:rsidP="00F82160">
      <w:pPr>
        <w:spacing w:line="240" w:lineRule="auto"/>
        <w:contextualSpacing/>
        <w:jc w:val="center"/>
        <w:rPr>
          <w:rFonts w:ascii="Garamond" w:hAnsi="Garamond" w:cs="Arial"/>
          <w:b/>
          <w:bCs/>
        </w:rPr>
      </w:pPr>
      <w:r w:rsidRPr="00EB4EF1">
        <w:rPr>
          <w:rFonts w:ascii="Garamond" w:hAnsi="Garamond" w:cs="Arial"/>
          <w:b/>
          <w:bCs/>
        </w:rPr>
        <w:t>SUPPLEMENT</w:t>
      </w:r>
    </w:p>
    <w:p w14:paraId="3CD9186D" w14:textId="77777777" w:rsidR="00F82160" w:rsidRPr="002633B0" w:rsidRDefault="00F82160" w:rsidP="00F82160">
      <w:pPr>
        <w:spacing w:line="240" w:lineRule="auto"/>
        <w:ind w:left="720"/>
        <w:contextualSpacing/>
        <w:jc w:val="center"/>
        <w:rPr>
          <w:rFonts w:ascii="Garamond" w:hAnsi="Garamond" w:cs="Calibri"/>
        </w:rPr>
      </w:pPr>
    </w:p>
    <w:p w14:paraId="6F8AEC87" w14:textId="77777777" w:rsidR="00F82160" w:rsidRDefault="00F82160" w:rsidP="00F82160">
      <w:pPr>
        <w:spacing w:line="240" w:lineRule="auto"/>
        <w:contextualSpacing/>
        <w:rPr>
          <w:rFonts w:ascii="Garamond" w:hAnsi="Garamond" w:cs="Arial"/>
          <w:b/>
          <w:bCs/>
        </w:rPr>
      </w:pPr>
      <w:r w:rsidRPr="00EB4EF1">
        <w:rPr>
          <w:rFonts w:ascii="Garamond" w:hAnsi="Garamond" w:cs="Arial"/>
          <w:b/>
          <w:bCs/>
        </w:rPr>
        <w:t xml:space="preserve">Supplement Figure 1. Longitudinal </w:t>
      </w:r>
      <w:r>
        <w:rPr>
          <w:rFonts w:ascii="Garamond" w:hAnsi="Garamond" w:cs="Arial"/>
          <w:b/>
          <w:bCs/>
        </w:rPr>
        <w:t>C</w:t>
      </w:r>
      <w:r w:rsidRPr="00EB4EF1">
        <w:rPr>
          <w:rFonts w:ascii="Garamond" w:hAnsi="Garamond" w:cs="Arial"/>
          <w:b/>
          <w:bCs/>
        </w:rPr>
        <w:t xml:space="preserve">hange and </w:t>
      </w:r>
      <w:r>
        <w:rPr>
          <w:rFonts w:ascii="Garamond" w:hAnsi="Garamond" w:cs="Arial"/>
          <w:b/>
          <w:bCs/>
        </w:rPr>
        <w:t>E</w:t>
      </w:r>
      <w:r w:rsidRPr="00EB4EF1">
        <w:rPr>
          <w:rFonts w:ascii="Garamond" w:hAnsi="Garamond" w:cs="Arial"/>
          <w:b/>
          <w:bCs/>
        </w:rPr>
        <w:t xml:space="preserve">ffect </w:t>
      </w:r>
      <w:r>
        <w:rPr>
          <w:rFonts w:ascii="Garamond" w:hAnsi="Garamond" w:cs="Arial"/>
          <w:b/>
          <w:bCs/>
        </w:rPr>
        <w:t>S</w:t>
      </w:r>
      <w:r w:rsidRPr="00EB4EF1">
        <w:rPr>
          <w:rFonts w:ascii="Garamond" w:hAnsi="Garamond" w:cs="Arial"/>
          <w:b/>
          <w:bCs/>
        </w:rPr>
        <w:t xml:space="preserve">ize vs Aβ- CN Controls for IDN, DET, OCL, </w:t>
      </w:r>
      <w:r>
        <w:rPr>
          <w:rFonts w:ascii="Garamond" w:hAnsi="Garamond" w:cs="Arial"/>
          <w:b/>
          <w:bCs/>
        </w:rPr>
        <w:t xml:space="preserve">and </w:t>
      </w:r>
      <w:r w:rsidRPr="00EB4EF1">
        <w:rPr>
          <w:rFonts w:ascii="Garamond" w:hAnsi="Garamond" w:cs="Arial"/>
          <w:b/>
          <w:bCs/>
        </w:rPr>
        <w:t>OBK</w:t>
      </w:r>
    </w:p>
    <w:p w14:paraId="3FA0FC91" w14:textId="77777777" w:rsidR="00F82160" w:rsidRDefault="00F82160" w:rsidP="00F82160">
      <w:pPr>
        <w:spacing w:line="240" w:lineRule="auto"/>
        <w:contextualSpacing/>
        <w:rPr>
          <w:rFonts w:ascii="Garamond" w:hAnsi="Garamond" w:cs="Arial"/>
          <w:b/>
          <w:bCs/>
        </w:rPr>
      </w:pPr>
    </w:p>
    <w:p w14:paraId="138BFDF5" w14:textId="17D26040" w:rsidR="00F82160" w:rsidRDefault="00F82160">
      <w:r>
        <w:rPr>
          <w:rFonts w:ascii="Garamond" w:hAnsi="Garamond" w:cs="Arial"/>
          <w:b/>
          <w:bCs/>
          <w:noProof/>
        </w:rPr>
        <w:drawing>
          <wp:inline distT="0" distB="0" distL="0" distR="0" wp14:anchorId="28635B6D" wp14:editId="0B28F7CA">
            <wp:extent cx="5760720" cy="7116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A63A" w14:textId="77777777" w:rsidR="00F82160" w:rsidRPr="00EB4EF1" w:rsidRDefault="00F82160" w:rsidP="00F82160">
      <w:pPr>
        <w:spacing w:line="240" w:lineRule="auto"/>
        <w:contextualSpacing/>
        <w:rPr>
          <w:rFonts w:ascii="Garamond" w:hAnsi="Garamond" w:cs="Arial"/>
          <w:sz w:val="18"/>
          <w:szCs w:val="18"/>
        </w:rPr>
      </w:pPr>
      <w:r w:rsidRPr="00EB4EF1">
        <w:rPr>
          <w:rFonts w:ascii="Garamond" w:hAnsi="Garamond" w:cs="Arial"/>
          <w:sz w:val="18"/>
          <w:szCs w:val="18"/>
        </w:rPr>
        <w:t>*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i/>
          <w:iCs/>
          <w:sz w:val="18"/>
          <w:szCs w:val="18"/>
        </w:rPr>
        <w:t>p</w:t>
      </w:r>
      <w:r w:rsidRPr="00EB4EF1">
        <w:rPr>
          <w:rFonts w:ascii="Garamond" w:hAnsi="Garamond" w:cs="Arial"/>
          <w:sz w:val="18"/>
          <w:szCs w:val="18"/>
        </w:rPr>
        <w:t xml:space="preserve">&lt;.05, </w:t>
      </w:r>
      <w:r w:rsidRPr="00752341">
        <w:rPr>
          <w:rFonts w:ascii="Garamond" w:hAnsi="Garamond" w:cs="Arial"/>
          <w:sz w:val="18"/>
          <w:szCs w:val="18"/>
          <w:vertAlign w:val="superscript"/>
        </w:rPr>
        <w:t>†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i/>
          <w:iCs/>
          <w:sz w:val="18"/>
          <w:szCs w:val="18"/>
        </w:rPr>
        <w:t>p</w:t>
      </w:r>
      <w:r w:rsidRPr="00EB4EF1">
        <w:rPr>
          <w:rFonts w:ascii="Garamond" w:hAnsi="Garamond" w:cs="Arial"/>
          <w:sz w:val="18"/>
          <w:szCs w:val="18"/>
        </w:rPr>
        <w:t>&lt;.0</w:t>
      </w:r>
      <w:r>
        <w:rPr>
          <w:rFonts w:ascii="Garamond" w:hAnsi="Garamond" w:cs="Arial"/>
          <w:sz w:val="18"/>
          <w:szCs w:val="18"/>
        </w:rPr>
        <w:t>0</w:t>
      </w:r>
      <w:r w:rsidRPr="00EB4EF1">
        <w:rPr>
          <w:rFonts w:ascii="Garamond" w:hAnsi="Garamond" w:cs="Arial"/>
          <w:sz w:val="18"/>
          <w:szCs w:val="18"/>
        </w:rPr>
        <w:t xml:space="preserve">1 LMM slope significantly different from baseline. </w:t>
      </w:r>
    </w:p>
    <w:p w14:paraId="05EFD265" w14:textId="77777777" w:rsidR="00F82160" w:rsidRDefault="00F82160" w:rsidP="00F82160">
      <w:pPr>
        <w:spacing w:line="240" w:lineRule="auto"/>
        <w:contextualSpacing/>
        <w:rPr>
          <w:rFonts w:ascii="Garamond" w:hAnsi="Garamond" w:cs="Arial"/>
          <w:sz w:val="18"/>
          <w:szCs w:val="18"/>
        </w:rPr>
      </w:pPr>
      <w:r w:rsidRPr="00EB4EF1">
        <w:rPr>
          <w:rFonts w:ascii="Garamond" w:hAnsi="Garamond" w:cs="Arial"/>
          <w:sz w:val="18"/>
          <w:szCs w:val="18"/>
        </w:rPr>
        <w:t xml:space="preserve">Aβ, </w:t>
      </w:r>
      <w:r w:rsidRPr="00F912B5">
        <w:rPr>
          <w:rFonts w:ascii="Garamond" w:hAnsi="Garamond" w:cs="Arial"/>
          <w:sz w:val="18"/>
          <w:szCs w:val="18"/>
        </w:rPr>
        <w:t>amyloid-β</w:t>
      </w:r>
      <w:r w:rsidRPr="00EB4EF1">
        <w:rPr>
          <w:rFonts w:ascii="Garamond" w:hAnsi="Garamond" w:cs="Arial"/>
          <w:sz w:val="18"/>
          <w:szCs w:val="18"/>
        </w:rPr>
        <w:t>; AD, Alzheimer’s disease; CI, confidence interval; CN, cognitively normal; DET, Detection Task; IDN, Identification Task; MCI, mild cognitive impairment; OBK, One-Back Task; OCL, One Card Learning Task; SE, standard error.</w:t>
      </w:r>
    </w:p>
    <w:p w14:paraId="5C671F91" w14:textId="77777777" w:rsidR="00F82160" w:rsidRPr="00EB4EF1" w:rsidRDefault="00F82160" w:rsidP="00F82160">
      <w:pPr>
        <w:spacing w:line="240" w:lineRule="auto"/>
        <w:contextualSpacing/>
        <w:rPr>
          <w:rFonts w:ascii="Garamond" w:hAnsi="Garamond" w:cs="Arial"/>
          <w:sz w:val="18"/>
          <w:szCs w:val="18"/>
        </w:rPr>
      </w:pPr>
    </w:p>
    <w:p w14:paraId="7B32E453" w14:textId="77777777" w:rsidR="00F82160" w:rsidRPr="00EB4EF1" w:rsidRDefault="00F82160" w:rsidP="00F82160">
      <w:pPr>
        <w:spacing w:line="240" w:lineRule="auto"/>
        <w:contextualSpacing/>
        <w:rPr>
          <w:rFonts w:ascii="Garamond" w:hAnsi="Garamond" w:cs="Arial"/>
        </w:rPr>
      </w:pPr>
      <w:bookmarkStart w:id="0" w:name="_Hlk48222110"/>
      <w:r w:rsidRPr="00EB4EF1">
        <w:rPr>
          <w:rFonts w:ascii="Garamond" w:hAnsi="Garamond" w:cs="Arial"/>
        </w:rPr>
        <w:t xml:space="preserve">Supplement Figure 1: Left column: </w:t>
      </w:r>
      <w:r w:rsidRPr="00EB4EF1">
        <w:rPr>
          <w:rFonts w:ascii="Garamond" w:hAnsi="Garamond" w:cs="Arial"/>
          <w:iCs/>
        </w:rPr>
        <w:t xml:space="preserve">IDN (A), DET (B), OCL (C), and OBK (D) mean scores for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>β- CN (black line),</w:t>
      </w:r>
      <w:r w:rsidRPr="00EB4EF1">
        <w:rPr>
          <w:rFonts w:ascii="Garamond" w:hAnsi="Garamond" w:cs="Arial"/>
          <w:iCs/>
        </w:rPr>
        <w:t xml:space="preserve">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 xml:space="preserve">β+ MCI (blue line), and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 xml:space="preserve">β+ AD (red line) at 3-month intervals over 18 months. Right </w:t>
      </w:r>
      <w:r>
        <w:rPr>
          <w:rFonts w:ascii="Garamond" w:hAnsi="Garamond" w:cs="Calibri"/>
        </w:rPr>
        <w:lastRenderedPageBreak/>
        <w:t>c</w:t>
      </w:r>
      <w:r w:rsidRPr="00EB4EF1">
        <w:rPr>
          <w:rFonts w:ascii="Garamond" w:hAnsi="Garamond" w:cs="Calibri"/>
        </w:rPr>
        <w:t xml:space="preserve">olumn: </w:t>
      </w:r>
      <w:r>
        <w:rPr>
          <w:rFonts w:ascii="Garamond" w:hAnsi="Garamond" w:cs="Arial"/>
          <w:iCs/>
        </w:rPr>
        <w:t>e</w:t>
      </w:r>
      <w:r w:rsidRPr="00EB4EF1">
        <w:rPr>
          <w:rFonts w:ascii="Garamond" w:hAnsi="Garamond" w:cs="Arial"/>
          <w:iCs/>
        </w:rPr>
        <w:t xml:space="preserve">ffect sizes for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 xml:space="preserve">β+ MCI (blue) and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 xml:space="preserve">β+ AD (red) versus </w:t>
      </w:r>
      <w:r w:rsidRPr="00EB4EF1">
        <w:rPr>
          <w:rFonts w:ascii="Garamond" w:hAnsi="Garamond" w:cs="Arial"/>
        </w:rPr>
        <w:t>A</w:t>
      </w:r>
      <w:r w:rsidRPr="00EB4EF1">
        <w:rPr>
          <w:rFonts w:ascii="Garamond" w:hAnsi="Garamond" w:cs="Calibri"/>
        </w:rPr>
        <w:t>β- CN on</w:t>
      </w:r>
      <w:r w:rsidRPr="00EB4EF1">
        <w:rPr>
          <w:rFonts w:ascii="Garamond" w:hAnsi="Garamond" w:cs="Arial"/>
        </w:rPr>
        <w:t xml:space="preserve"> </w:t>
      </w:r>
      <w:r w:rsidRPr="00EB4EF1">
        <w:rPr>
          <w:rFonts w:ascii="Garamond" w:hAnsi="Garamond" w:cs="Arial"/>
          <w:iCs/>
        </w:rPr>
        <w:t>IDN (A), DET (B), OCL (C) and OBK (D)</w:t>
      </w:r>
      <w:r w:rsidRPr="00EB4EF1">
        <w:rPr>
          <w:rFonts w:ascii="Garamond" w:hAnsi="Garamond" w:cs="Calibri"/>
        </w:rPr>
        <w:t xml:space="preserve"> at 3-month intervals over 18 months.</w:t>
      </w:r>
      <w:bookmarkEnd w:id="0"/>
    </w:p>
    <w:p w14:paraId="7CC33882" w14:textId="77777777" w:rsidR="00F82160" w:rsidRDefault="00F82160"/>
    <w:sectPr w:rsidR="00F8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60"/>
    <w:rsid w:val="00F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C9A38"/>
  <w15:chartTrackingRefBased/>
  <w15:docId w15:val="{535EA28E-D9F4-BC49-89CB-BA5C489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60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2021-08-25T07:29:00Z</dcterms:created>
  <dcterms:modified xsi:type="dcterms:W3CDTF">2021-08-25T07:29:00Z</dcterms:modified>
</cp:coreProperties>
</file>