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3DDC" w14:textId="77777777" w:rsidR="00FC00EE" w:rsidRPr="00C9603D" w:rsidRDefault="00FC00EE" w:rsidP="00FC00EE">
      <w:pPr>
        <w:spacing w:after="0" w:line="480" w:lineRule="auto"/>
        <w:ind w:left="1418" w:hanging="1418"/>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3DCD230" wp14:editId="29787712">
            <wp:extent cx="7971267" cy="2976663"/>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2260" cy="2988237"/>
                    </a:xfrm>
                    <a:prstGeom prst="rect">
                      <a:avLst/>
                    </a:prstGeom>
                    <a:noFill/>
                  </pic:spPr>
                </pic:pic>
              </a:graphicData>
            </a:graphic>
          </wp:inline>
        </w:drawing>
      </w:r>
    </w:p>
    <w:p w14:paraId="07EFF8D1" w14:textId="77777777" w:rsidR="00FC00EE" w:rsidRDefault="00FC00EE" w:rsidP="00FC00EE">
      <w:pPr>
        <w:spacing w:after="0" w:line="480" w:lineRule="auto"/>
        <w:rPr>
          <w:rFonts w:ascii="Times New Roman" w:hAnsi="Times New Roman" w:cs="Times New Roman"/>
          <w:b/>
          <w:sz w:val="24"/>
          <w:szCs w:val="24"/>
        </w:rPr>
      </w:pPr>
    </w:p>
    <w:p w14:paraId="1C291FE0" w14:textId="77777777" w:rsidR="00FC00EE" w:rsidRPr="009218CF" w:rsidRDefault="00FC00EE" w:rsidP="00FC00EE">
      <w:pPr>
        <w:spacing w:after="0" w:line="480" w:lineRule="auto"/>
        <w:rPr>
          <w:rFonts w:ascii="Times New Roman" w:hAnsi="Times New Roman" w:cs="Times New Roman"/>
          <w:bCs/>
          <w:sz w:val="24"/>
          <w:szCs w:val="24"/>
        </w:rPr>
      </w:pPr>
      <w:r w:rsidRPr="00C9603D">
        <w:rPr>
          <w:rFonts w:ascii="Times New Roman" w:hAnsi="Times New Roman" w:cs="Times New Roman"/>
          <w:b/>
          <w:sz w:val="24"/>
          <w:szCs w:val="24"/>
        </w:rPr>
        <w:t xml:space="preserve">Supplemental Figure 1. </w:t>
      </w:r>
      <w:r w:rsidRPr="009218CF">
        <w:rPr>
          <w:rFonts w:ascii="Times New Roman" w:hAnsi="Times New Roman" w:cs="Times New Roman"/>
          <w:bCs/>
          <w:sz w:val="24"/>
          <w:szCs w:val="24"/>
        </w:rPr>
        <w:t xml:space="preserve">Study Design - Overview of </w:t>
      </w:r>
      <w:r>
        <w:rPr>
          <w:rFonts w:ascii="Times New Roman" w:hAnsi="Times New Roman" w:cs="Times New Roman"/>
          <w:bCs/>
          <w:sz w:val="24"/>
          <w:szCs w:val="24"/>
        </w:rPr>
        <w:t>dosing regime and schedule of activities.</w:t>
      </w:r>
    </w:p>
    <w:p w14:paraId="70B8A5D2" w14:textId="77777777" w:rsidR="00FC00EE" w:rsidRDefault="00FC00EE" w:rsidP="00FC00EE">
      <w:pPr>
        <w:spacing w:after="68" w:line="480" w:lineRule="auto"/>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Baseline = any visit before dosing</w:t>
      </w:r>
    </w:p>
    <w:p w14:paraId="76BE5422" w14:textId="77777777" w:rsidR="00FC00EE" w:rsidRPr="00C9603D" w:rsidRDefault="00FC00EE" w:rsidP="00FC00EE">
      <w:pPr>
        <w:spacing w:after="68" w:line="480" w:lineRule="auto"/>
        <w:rPr>
          <w:rFonts w:ascii="Times New Roman" w:hAnsi="Times New Roman" w:cs="Times New Roman"/>
          <w:color w:val="000000" w:themeColor="text1"/>
          <w:kern w:val="24"/>
          <w:sz w:val="24"/>
          <w:szCs w:val="24"/>
        </w:rPr>
      </w:pPr>
      <w:r w:rsidRPr="00C9603D">
        <w:rPr>
          <w:rFonts w:ascii="Times New Roman" w:hAnsi="Times New Roman" w:cs="Times New Roman"/>
          <w:color w:val="000000" w:themeColor="text1"/>
          <w:kern w:val="24"/>
          <w:sz w:val="24"/>
          <w:szCs w:val="24"/>
        </w:rPr>
        <w:t>ADA = antidrug antibodies; Ab = Amyloid ß (</w:t>
      </w:r>
      <w:proofErr w:type="spellStart"/>
      <w:r w:rsidRPr="00C9603D">
        <w:rPr>
          <w:rFonts w:ascii="Times New Roman" w:hAnsi="Times New Roman" w:cs="Times New Roman"/>
          <w:color w:val="000000" w:themeColor="text1"/>
          <w:kern w:val="24"/>
          <w:sz w:val="24"/>
          <w:szCs w:val="24"/>
        </w:rPr>
        <w:t>florbetapir</w:t>
      </w:r>
      <w:proofErr w:type="spellEnd"/>
      <w:r w:rsidRPr="00C9603D">
        <w:rPr>
          <w:rFonts w:ascii="Times New Roman" w:hAnsi="Times New Roman" w:cs="Times New Roman"/>
          <w:color w:val="000000" w:themeColor="text1"/>
          <w:kern w:val="24"/>
          <w:sz w:val="24"/>
          <w:szCs w:val="24"/>
        </w:rPr>
        <w:t xml:space="preserve">); CSF = cerebrospinal fluid; FU = follow up; IV = intravenous; MRI = magnetic resonance imaging; PET = positron emission tomography; Tau = 18-AV-1451 </w:t>
      </w:r>
      <w:r w:rsidRPr="0041653A">
        <w:rPr>
          <w:rFonts w:ascii="Times New Roman" w:hAnsi="Times New Roman" w:cs="Times New Roman"/>
          <w:color w:val="000000" w:themeColor="text1"/>
          <w:kern w:val="24"/>
          <w:sz w:val="24"/>
          <w:szCs w:val="24"/>
        </w:rPr>
        <w:t>(flortaucipir)</w:t>
      </w:r>
      <w:r w:rsidRPr="00C9603D">
        <w:rPr>
          <w:rFonts w:ascii="Times New Roman" w:hAnsi="Times New Roman" w:cs="Times New Roman"/>
          <w:color w:val="000000" w:themeColor="text1"/>
          <w:kern w:val="24"/>
          <w:sz w:val="24"/>
          <w:szCs w:val="24"/>
        </w:rPr>
        <w:t xml:space="preserve">; </w:t>
      </w:r>
      <w:proofErr w:type="spellStart"/>
      <w:r w:rsidRPr="00C9603D">
        <w:rPr>
          <w:rFonts w:ascii="Times New Roman" w:hAnsi="Times New Roman" w:cs="Times New Roman"/>
          <w:color w:val="000000" w:themeColor="text1"/>
          <w:kern w:val="24"/>
          <w:sz w:val="24"/>
          <w:szCs w:val="24"/>
        </w:rPr>
        <w:t>wk</w:t>
      </w:r>
      <w:proofErr w:type="spellEnd"/>
      <w:r w:rsidRPr="00C9603D">
        <w:rPr>
          <w:rFonts w:ascii="Times New Roman" w:hAnsi="Times New Roman" w:cs="Times New Roman"/>
          <w:color w:val="000000" w:themeColor="text1"/>
          <w:kern w:val="24"/>
          <w:sz w:val="24"/>
          <w:szCs w:val="24"/>
        </w:rPr>
        <w:t xml:space="preserve"> = week.</w:t>
      </w:r>
    </w:p>
    <w:p w14:paraId="7EAE9D73" w14:textId="77777777" w:rsidR="00FC00EE" w:rsidRPr="00C9603D" w:rsidRDefault="00FC00EE" w:rsidP="00FC00EE">
      <w:pPr>
        <w:spacing w:after="0" w:line="480" w:lineRule="auto"/>
        <w:rPr>
          <w:rFonts w:ascii="Times New Roman" w:hAnsi="Times New Roman" w:cs="Times New Roman"/>
          <w:b/>
          <w:sz w:val="24"/>
          <w:szCs w:val="24"/>
        </w:rPr>
      </w:pPr>
    </w:p>
    <w:p w14:paraId="0BDB43C9" w14:textId="77777777" w:rsidR="00FC00EE" w:rsidRPr="00C9603D" w:rsidRDefault="00FC00EE" w:rsidP="00FC00EE">
      <w:pPr>
        <w:rPr>
          <w:rFonts w:ascii="Times New Roman" w:hAnsi="Times New Roman" w:cs="Times New Roman"/>
          <w:b/>
          <w:sz w:val="24"/>
          <w:szCs w:val="24"/>
        </w:rPr>
      </w:pPr>
    </w:p>
    <w:p w14:paraId="75C424FF" w14:textId="77777777" w:rsidR="00FC00EE" w:rsidRDefault="00FC00EE" w:rsidP="00FC00EE">
      <w:pPr>
        <w:rPr>
          <w:rFonts w:ascii="Times New Roman" w:hAnsi="Times New Roman" w:cs="Times New Roman"/>
          <w:b/>
          <w:sz w:val="24"/>
          <w:szCs w:val="24"/>
        </w:rPr>
      </w:pPr>
    </w:p>
    <w:p w14:paraId="256A57F2" w14:textId="77777777" w:rsidR="00B34E21" w:rsidRDefault="00FC00EE" w:rsidP="00B34E21">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D7CBC24" wp14:editId="054A7950">
            <wp:extent cx="9095499" cy="4003589"/>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12820" cy="4011213"/>
                    </a:xfrm>
                    <a:prstGeom prst="rect">
                      <a:avLst/>
                    </a:prstGeom>
                    <a:noFill/>
                  </pic:spPr>
                </pic:pic>
              </a:graphicData>
            </a:graphic>
          </wp:inline>
        </w:drawing>
      </w:r>
      <w:r w:rsidRPr="00C9603D">
        <w:rPr>
          <w:rFonts w:ascii="Times New Roman" w:hAnsi="Times New Roman" w:cs="Times New Roman"/>
          <w:b/>
          <w:sz w:val="24"/>
          <w:szCs w:val="24"/>
        </w:rPr>
        <w:t>Supplemental Figure 2</w:t>
      </w:r>
      <w:r>
        <w:rPr>
          <w:rFonts w:ascii="Times New Roman" w:hAnsi="Times New Roman" w:cs="Times New Roman"/>
          <w:b/>
          <w:sz w:val="24"/>
          <w:szCs w:val="24"/>
        </w:rPr>
        <w:t>. Disposition of study participants</w:t>
      </w:r>
    </w:p>
    <w:p w14:paraId="453D36A8" w14:textId="7EABF1DB" w:rsidR="00FC00EE" w:rsidRPr="006431D2" w:rsidRDefault="00FC00EE" w:rsidP="00B34E21">
      <w:pPr>
        <w:rPr>
          <w:rFonts w:ascii="Times New Roman" w:hAnsi="Times New Roman" w:cs="Times New Roman"/>
          <w:color w:val="000000"/>
          <w:sz w:val="24"/>
          <w:szCs w:val="24"/>
        </w:rPr>
      </w:pPr>
      <w:r w:rsidRPr="00C9603D">
        <w:rPr>
          <w:rFonts w:ascii="Times New Roman" w:hAnsi="Times New Roman" w:cs="Times New Roman"/>
          <w:color w:val="000000"/>
          <w:sz w:val="24"/>
          <w:szCs w:val="24"/>
        </w:rPr>
        <w:t>Abbreviations: AE = adverse event; IV = intravenous; N = number of participants; n = number of patients in a subgroup; Q2W = every 2 weeks; Q4W = every 4 weeks.</w:t>
      </w:r>
      <w:r w:rsidRPr="006431D2">
        <w:rPr>
          <w:rFonts w:ascii="Times New Roman" w:hAnsi="Times New Roman" w:cs="Times New Roman"/>
          <w:color w:val="000000"/>
          <w:sz w:val="24"/>
          <w:szCs w:val="24"/>
        </w:rPr>
        <w:t xml:space="preserve"> </w:t>
      </w:r>
    </w:p>
    <w:p w14:paraId="5866AD7C" w14:textId="77777777" w:rsidR="00FC00EE" w:rsidRPr="00C9603D" w:rsidRDefault="00FC00EE" w:rsidP="00FC00EE">
      <w:pPr>
        <w:rPr>
          <w:rFonts w:ascii="Times New Roman" w:hAnsi="Times New Roman" w:cs="Times New Roman"/>
          <w:b/>
          <w:sz w:val="24"/>
          <w:szCs w:val="24"/>
        </w:rPr>
      </w:pPr>
    </w:p>
    <w:p w14:paraId="761A61CF" w14:textId="77777777" w:rsidR="00FC00EE" w:rsidRPr="00C9603D" w:rsidRDefault="00FC00EE" w:rsidP="00FC00EE">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51CA970" wp14:editId="079CEA15">
            <wp:extent cx="6663690" cy="65233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3690" cy="6523355"/>
                    </a:xfrm>
                    <a:prstGeom prst="rect">
                      <a:avLst/>
                    </a:prstGeom>
                    <a:noFill/>
                  </pic:spPr>
                </pic:pic>
              </a:graphicData>
            </a:graphic>
          </wp:inline>
        </w:drawing>
      </w:r>
    </w:p>
    <w:p w14:paraId="6D273463" w14:textId="77777777" w:rsidR="00FC00EE" w:rsidRPr="00C9603D" w:rsidRDefault="00FC00EE" w:rsidP="00FC00EE">
      <w:pPr>
        <w:spacing w:line="480" w:lineRule="auto"/>
        <w:rPr>
          <w:rFonts w:ascii="Times New Roman" w:hAnsi="Times New Roman" w:cs="Times New Roman"/>
          <w:b/>
          <w:sz w:val="24"/>
          <w:szCs w:val="24"/>
        </w:rPr>
      </w:pPr>
      <w:r w:rsidRPr="00C9603D">
        <w:rPr>
          <w:rFonts w:ascii="Times New Roman" w:hAnsi="Times New Roman" w:cs="Times New Roman"/>
          <w:b/>
          <w:sz w:val="24"/>
          <w:szCs w:val="24"/>
        </w:rPr>
        <w:lastRenderedPageBreak/>
        <w:t xml:space="preserve">Supplemental Figure </w:t>
      </w:r>
      <w:r>
        <w:rPr>
          <w:rFonts w:ascii="Times New Roman" w:hAnsi="Times New Roman" w:cs="Times New Roman"/>
          <w:b/>
          <w:sz w:val="24"/>
          <w:szCs w:val="24"/>
        </w:rPr>
        <w:t>3</w:t>
      </w:r>
      <w:r w:rsidRPr="00C9603D">
        <w:rPr>
          <w:rFonts w:ascii="Times New Roman" w:hAnsi="Times New Roman" w:cs="Times New Roman"/>
          <w:b/>
          <w:sz w:val="24"/>
          <w:szCs w:val="24"/>
        </w:rPr>
        <w:t xml:space="preserve">: </w:t>
      </w:r>
      <w:r w:rsidRPr="00481F4F">
        <w:rPr>
          <w:rFonts w:ascii="Times New Roman" w:hAnsi="Times New Roman" w:cs="Times New Roman"/>
          <w:sz w:val="24"/>
          <w:szCs w:val="24"/>
        </w:rPr>
        <w:t>Reduction in cerebral amyloid (</w:t>
      </w:r>
      <w:proofErr w:type="spellStart"/>
      <w:r>
        <w:rPr>
          <w:rFonts w:ascii="Times New Roman" w:hAnsi="Times New Roman" w:cs="Times New Roman"/>
          <w:sz w:val="24"/>
          <w:szCs w:val="24"/>
        </w:rPr>
        <w:t>Centiloid</w:t>
      </w:r>
      <w:proofErr w:type="spellEnd"/>
      <w:r w:rsidRPr="00481F4F">
        <w:rPr>
          <w:rFonts w:ascii="Times New Roman" w:hAnsi="Times New Roman" w:cs="Times New Roman"/>
          <w:sz w:val="24"/>
          <w:szCs w:val="24"/>
        </w:rPr>
        <w:t xml:space="preserve"> units) changes from baseline were visually comparable between non-Japanese </w:t>
      </w:r>
      <w:r>
        <w:rPr>
          <w:rFonts w:ascii="Times New Roman" w:hAnsi="Times New Roman" w:cs="Times New Roman"/>
          <w:sz w:val="24"/>
          <w:szCs w:val="24"/>
        </w:rPr>
        <w:t xml:space="preserve">(blue) </w:t>
      </w:r>
      <w:r w:rsidRPr="00481F4F">
        <w:rPr>
          <w:rFonts w:ascii="Times New Roman" w:hAnsi="Times New Roman" w:cs="Times New Roman"/>
          <w:sz w:val="24"/>
          <w:szCs w:val="24"/>
        </w:rPr>
        <w:t>and Japanese</w:t>
      </w:r>
      <w:r>
        <w:rPr>
          <w:rFonts w:ascii="Times New Roman" w:hAnsi="Times New Roman" w:cs="Times New Roman"/>
          <w:sz w:val="24"/>
          <w:szCs w:val="24"/>
        </w:rPr>
        <w:t xml:space="preserve"> (red)</w:t>
      </w:r>
      <w:r w:rsidRPr="00481F4F">
        <w:rPr>
          <w:rFonts w:ascii="Times New Roman" w:hAnsi="Times New Roman" w:cs="Times New Roman"/>
          <w:sz w:val="24"/>
          <w:szCs w:val="24"/>
        </w:rPr>
        <w:t xml:space="preserve"> patients</w:t>
      </w:r>
      <w:r>
        <w:rPr>
          <w:rFonts w:ascii="Times New Roman" w:hAnsi="Times New Roman" w:cs="Times New Roman"/>
          <w:sz w:val="24"/>
          <w:szCs w:val="24"/>
        </w:rPr>
        <w:t xml:space="preserve"> regardless of treatment arm.</w:t>
      </w:r>
    </w:p>
    <w:p w14:paraId="1411B347" w14:textId="7BBC9C47" w:rsidR="00FC00EE" w:rsidRDefault="0040066E" w:rsidP="00FC00EE">
      <w:pPr>
        <w:spacing w:after="0" w:line="480" w:lineRule="auto"/>
        <w:rPr>
          <w:rFonts w:ascii="Times New Roman" w:hAnsi="Times New Roman" w:cs="Times New Roman"/>
          <w:sz w:val="20"/>
          <w:szCs w:val="20"/>
        </w:rPr>
      </w:pPr>
      <w:r w:rsidRPr="00B34E21">
        <w:rPr>
          <w:rFonts w:ascii="Times New Roman" w:hAnsi="Times New Roman" w:cs="Times New Roman"/>
          <w:bCs/>
          <w:sz w:val="24"/>
          <w:szCs w:val="24"/>
        </w:rPr>
        <w:t>Abbreviations</w:t>
      </w:r>
      <w:r w:rsidR="00FC00EE" w:rsidRPr="00B34E21">
        <w:rPr>
          <w:rFonts w:ascii="Times New Roman" w:hAnsi="Times New Roman" w:cs="Times New Roman"/>
          <w:bCs/>
          <w:sz w:val="24"/>
          <w:szCs w:val="24"/>
        </w:rPr>
        <w:t>:</w:t>
      </w:r>
      <w:bookmarkStart w:id="0" w:name="OLE_LINK1"/>
      <w:r w:rsidR="00FC00EE" w:rsidRPr="00C9603D">
        <w:rPr>
          <w:rFonts w:ascii="Times New Roman" w:hAnsi="Times New Roman" w:cs="Times New Roman"/>
          <w:bCs/>
          <w:sz w:val="24"/>
          <w:szCs w:val="24"/>
        </w:rPr>
        <w:t xml:space="preserve"> </w:t>
      </w:r>
      <w:bookmarkEnd w:id="0"/>
      <w:r w:rsidR="00FC00EE" w:rsidRPr="00C9603D">
        <w:rPr>
          <w:rFonts w:ascii="Times New Roman" w:hAnsi="Times New Roman" w:cs="Times New Roman"/>
          <w:color w:val="000000"/>
          <w:sz w:val="24"/>
          <w:szCs w:val="24"/>
        </w:rPr>
        <w:t xml:space="preserve">Q2W = every 2 weeks; Q4W = every 4 weeks; </w:t>
      </w:r>
      <w:proofErr w:type="spellStart"/>
      <w:r w:rsidR="00FC00EE" w:rsidRPr="00C9603D">
        <w:rPr>
          <w:rFonts w:ascii="Times New Roman" w:hAnsi="Times New Roman" w:cs="Times New Roman"/>
          <w:sz w:val="24"/>
          <w:szCs w:val="24"/>
          <w:lang w:eastAsia="ja-JP"/>
        </w:rPr>
        <w:t>SUVr</w:t>
      </w:r>
      <w:proofErr w:type="spellEnd"/>
      <w:r w:rsidR="00FC00EE" w:rsidRPr="00C9603D">
        <w:rPr>
          <w:rFonts w:ascii="Times New Roman" w:hAnsi="Times New Roman" w:cs="Times New Roman"/>
          <w:sz w:val="24"/>
          <w:szCs w:val="24"/>
          <w:lang w:eastAsia="ja-JP"/>
        </w:rPr>
        <w:t xml:space="preserve"> = standardized uptake value ratio</w:t>
      </w:r>
      <w:r w:rsidR="00FC00EE" w:rsidRPr="00C9603D">
        <w:rPr>
          <w:rFonts w:ascii="Times New Roman" w:hAnsi="Times New Roman" w:cs="Times New Roman"/>
          <w:color w:val="000000"/>
          <w:sz w:val="24"/>
          <w:szCs w:val="24"/>
        </w:rPr>
        <w:t>.</w:t>
      </w:r>
      <w:r w:rsidR="00FC00EE" w:rsidRPr="00C9603D">
        <w:rPr>
          <w:rFonts w:ascii="Times New Roman" w:hAnsi="Times New Roman" w:cs="Times New Roman"/>
          <w:sz w:val="20"/>
          <w:szCs w:val="20"/>
        </w:rPr>
        <w:t xml:space="preserve"> </w:t>
      </w:r>
    </w:p>
    <w:p w14:paraId="06176145" w14:textId="77777777" w:rsidR="00FC00EE" w:rsidRDefault="00FC00EE" w:rsidP="00FC00EE">
      <w:pPr>
        <w:rPr>
          <w:rFonts w:ascii="Times New Roman" w:hAnsi="Times New Roman" w:cs="Times New Roman"/>
          <w:color w:val="000000"/>
          <w:sz w:val="24"/>
          <w:szCs w:val="24"/>
        </w:rPr>
      </w:pPr>
      <w:r w:rsidRPr="00C9603D">
        <w:rPr>
          <w:rFonts w:ascii="Times New Roman" w:hAnsi="Times New Roman" w:cs="Times New Roman"/>
          <w:b/>
          <w:sz w:val="24"/>
          <w:szCs w:val="24"/>
        </w:rPr>
        <w:br w:type="page"/>
      </w:r>
    </w:p>
    <w:p w14:paraId="49FB4991" w14:textId="77777777" w:rsidR="00FC00EE" w:rsidRDefault="00FC00EE" w:rsidP="00FC00EE">
      <w:pPr>
        <w:rPr>
          <w:rFonts w:ascii="Times New Roman" w:hAnsi="Times New Roman" w:cs="Times New Roman"/>
          <w:b/>
          <w:sz w:val="24"/>
          <w:szCs w:val="24"/>
        </w:rPr>
        <w:sectPr w:rsidR="00FC00EE" w:rsidSect="00F4609C">
          <w:pgSz w:w="15840" w:h="12240" w:orient="landscape"/>
          <w:pgMar w:top="1440" w:right="1440" w:bottom="1440" w:left="1440" w:header="720" w:footer="720" w:gutter="0"/>
          <w:cols w:space="720"/>
          <w:docGrid w:linePitch="360"/>
        </w:sectPr>
      </w:pPr>
    </w:p>
    <w:p w14:paraId="48420DAD" w14:textId="77777777" w:rsidR="00FC00EE" w:rsidRPr="00C9603D" w:rsidRDefault="00FC00EE" w:rsidP="00FC00EE">
      <w:pPr>
        <w:rPr>
          <w:rFonts w:ascii="Times New Roman" w:hAnsi="Times New Roman" w:cs="Times New Roman"/>
          <w:b/>
          <w:sz w:val="24"/>
          <w:szCs w:val="24"/>
        </w:rPr>
      </w:pPr>
      <w:r w:rsidRPr="00C9603D">
        <w:rPr>
          <w:rFonts w:ascii="Times New Roman" w:hAnsi="Times New Roman" w:cs="Times New Roman"/>
          <w:b/>
          <w:sz w:val="24"/>
          <w:szCs w:val="24"/>
        </w:rPr>
        <w:lastRenderedPageBreak/>
        <w:t xml:space="preserve">Supplemental Table 1: </w:t>
      </w:r>
      <w:r w:rsidRPr="00C9603D">
        <w:rPr>
          <w:rFonts w:ascii="Times New Roman" w:hAnsi="Times New Roman" w:cs="Times New Roman"/>
          <w:bCs/>
          <w:sz w:val="24"/>
          <w:szCs w:val="24"/>
        </w:rPr>
        <w:t xml:space="preserve">Summary PK Parameters for </w:t>
      </w:r>
      <w:r>
        <w:rPr>
          <w:rFonts w:ascii="Times New Roman" w:hAnsi="Times New Roman" w:cs="Times New Roman"/>
          <w:bCs/>
          <w:sz w:val="24"/>
          <w:szCs w:val="24"/>
        </w:rPr>
        <w:t xml:space="preserve">Single Dose </w:t>
      </w:r>
      <w:r w:rsidRPr="00C9603D">
        <w:rPr>
          <w:rFonts w:ascii="Times New Roman" w:hAnsi="Times New Roman" w:cs="Times New Roman"/>
          <w:bCs/>
          <w:sz w:val="24"/>
          <w:szCs w:val="24"/>
        </w:rPr>
        <w:t xml:space="preserve">Cohorts </w:t>
      </w:r>
    </w:p>
    <w:tbl>
      <w:tblPr>
        <w:tblW w:w="10190" w:type="dxa"/>
        <w:tblInd w:w="-108" w:type="dxa"/>
        <w:tblBorders>
          <w:top w:val="single" w:sz="4" w:space="0" w:color="auto"/>
          <w:bottom w:val="single" w:sz="4" w:space="0" w:color="auto"/>
        </w:tblBorders>
        <w:tblLayout w:type="fixed"/>
        <w:tblLook w:val="0000" w:firstRow="0" w:lastRow="0" w:firstColumn="0" w:lastColumn="0" w:noHBand="0" w:noVBand="0"/>
      </w:tblPr>
      <w:tblGrid>
        <w:gridCol w:w="2547"/>
        <w:gridCol w:w="2547"/>
        <w:gridCol w:w="2547"/>
        <w:gridCol w:w="2549"/>
      </w:tblGrid>
      <w:tr w:rsidR="00FC00EE" w:rsidRPr="00C9603D" w14:paraId="6C97AECA" w14:textId="77777777" w:rsidTr="00C54A99">
        <w:trPr>
          <w:trHeight w:val="107"/>
        </w:trPr>
        <w:tc>
          <w:tcPr>
            <w:tcW w:w="10190" w:type="dxa"/>
            <w:gridSpan w:val="4"/>
            <w:tcBorders>
              <w:top w:val="single" w:sz="4" w:space="0" w:color="auto"/>
              <w:bottom w:val="nil"/>
            </w:tcBorders>
          </w:tcPr>
          <w:p w14:paraId="2913830F"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Geometric Mean (CV%)</w:t>
            </w:r>
          </w:p>
        </w:tc>
      </w:tr>
      <w:tr w:rsidR="00FC00EE" w:rsidRPr="00C9603D" w14:paraId="71CA534F" w14:textId="77777777" w:rsidTr="00C54A99">
        <w:trPr>
          <w:trHeight w:val="107"/>
        </w:trPr>
        <w:tc>
          <w:tcPr>
            <w:tcW w:w="10190" w:type="dxa"/>
            <w:gridSpan w:val="4"/>
            <w:tcBorders>
              <w:top w:val="nil"/>
              <w:bottom w:val="nil"/>
            </w:tcBorders>
          </w:tcPr>
          <w:p w14:paraId="12195B2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 xml:space="preserve">Serum </w:t>
            </w:r>
            <w:r>
              <w:rPr>
                <w:rFonts w:ascii="Times New Roman" w:hAnsi="Times New Roman" w:cs="Times New Roman"/>
                <w:b/>
                <w:bCs/>
                <w:color w:val="000000"/>
                <w:sz w:val="24"/>
                <w:szCs w:val="24"/>
              </w:rPr>
              <w:t>Donanemab</w:t>
            </w:r>
          </w:p>
        </w:tc>
      </w:tr>
      <w:tr w:rsidR="00FC00EE" w:rsidRPr="00C9603D" w14:paraId="393A8720" w14:textId="77777777" w:rsidTr="00C54A99">
        <w:trPr>
          <w:trHeight w:val="107"/>
        </w:trPr>
        <w:tc>
          <w:tcPr>
            <w:tcW w:w="2547" w:type="dxa"/>
            <w:tcBorders>
              <w:top w:val="nil"/>
              <w:bottom w:val="single" w:sz="4" w:space="0" w:color="auto"/>
            </w:tcBorders>
          </w:tcPr>
          <w:p w14:paraId="79EAF8BA"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 xml:space="preserve">Treatment </w:t>
            </w:r>
          </w:p>
        </w:tc>
        <w:tc>
          <w:tcPr>
            <w:tcW w:w="2547" w:type="dxa"/>
            <w:tcBorders>
              <w:top w:val="nil"/>
              <w:bottom w:val="single" w:sz="4" w:space="0" w:color="auto"/>
            </w:tcBorders>
          </w:tcPr>
          <w:p w14:paraId="465501AA"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10 mg/kg</w:t>
            </w:r>
          </w:p>
        </w:tc>
        <w:tc>
          <w:tcPr>
            <w:tcW w:w="2547" w:type="dxa"/>
            <w:tcBorders>
              <w:top w:val="nil"/>
              <w:bottom w:val="single" w:sz="4" w:space="0" w:color="auto"/>
            </w:tcBorders>
          </w:tcPr>
          <w:p w14:paraId="462DA79B"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20 mg/kg</w:t>
            </w:r>
          </w:p>
        </w:tc>
        <w:tc>
          <w:tcPr>
            <w:tcW w:w="2549" w:type="dxa"/>
            <w:tcBorders>
              <w:top w:val="nil"/>
              <w:bottom w:val="single" w:sz="4" w:space="0" w:color="auto"/>
            </w:tcBorders>
          </w:tcPr>
          <w:p w14:paraId="6083BEC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40 mg/kg</w:t>
            </w:r>
          </w:p>
        </w:tc>
      </w:tr>
      <w:tr w:rsidR="00FC00EE" w:rsidRPr="00C9603D" w14:paraId="5355D22F" w14:textId="77777777" w:rsidTr="00C54A99">
        <w:trPr>
          <w:trHeight w:val="104"/>
        </w:trPr>
        <w:tc>
          <w:tcPr>
            <w:tcW w:w="2547" w:type="dxa"/>
            <w:tcBorders>
              <w:top w:val="single" w:sz="4" w:space="0" w:color="auto"/>
            </w:tcBorders>
          </w:tcPr>
          <w:p w14:paraId="155E9E42" w14:textId="77777777" w:rsidR="00FC00EE" w:rsidRPr="00C9603D" w:rsidRDefault="00FC00EE" w:rsidP="00C54A99">
            <w:pPr>
              <w:autoSpaceDE w:val="0"/>
              <w:autoSpaceDN w:val="0"/>
              <w:adjustRightInd w:val="0"/>
              <w:spacing w:before="240"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N </w:t>
            </w:r>
          </w:p>
        </w:tc>
        <w:tc>
          <w:tcPr>
            <w:tcW w:w="2547" w:type="dxa"/>
            <w:tcBorders>
              <w:top w:val="single" w:sz="4" w:space="0" w:color="auto"/>
            </w:tcBorders>
          </w:tcPr>
          <w:p w14:paraId="69EA1654"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7</w:t>
            </w:r>
          </w:p>
        </w:tc>
        <w:tc>
          <w:tcPr>
            <w:tcW w:w="2547" w:type="dxa"/>
            <w:tcBorders>
              <w:top w:val="single" w:sz="4" w:space="0" w:color="auto"/>
            </w:tcBorders>
          </w:tcPr>
          <w:p w14:paraId="546771E0"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7</w:t>
            </w:r>
          </w:p>
        </w:tc>
        <w:tc>
          <w:tcPr>
            <w:tcW w:w="2549" w:type="dxa"/>
            <w:tcBorders>
              <w:top w:val="single" w:sz="4" w:space="0" w:color="auto"/>
            </w:tcBorders>
          </w:tcPr>
          <w:p w14:paraId="1F8884A8"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4</w:t>
            </w:r>
          </w:p>
        </w:tc>
      </w:tr>
      <w:tr w:rsidR="00FC00EE" w:rsidRPr="00C9603D" w14:paraId="39DB0F42" w14:textId="77777777" w:rsidTr="00C54A99">
        <w:trPr>
          <w:trHeight w:val="120"/>
        </w:trPr>
        <w:tc>
          <w:tcPr>
            <w:tcW w:w="2547" w:type="dxa"/>
          </w:tcPr>
          <w:p w14:paraId="1E6D34E9"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C</w:t>
            </w:r>
            <w:r w:rsidRPr="00C9603D">
              <w:rPr>
                <w:rFonts w:ascii="Times New Roman" w:hAnsi="Times New Roman" w:cs="Times New Roman"/>
                <w:color w:val="000000"/>
                <w:sz w:val="24"/>
                <w:szCs w:val="24"/>
                <w:vertAlign w:val="subscript"/>
              </w:rPr>
              <w:t>max</w:t>
            </w:r>
            <w:r w:rsidRPr="00C9603D">
              <w:rPr>
                <w:rFonts w:ascii="Times New Roman" w:hAnsi="Times New Roman" w:cs="Times New Roman"/>
                <w:color w:val="000000"/>
                <w:sz w:val="24"/>
                <w:szCs w:val="24"/>
              </w:rPr>
              <w:t xml:space="preserve"> (ug/mL) </w:t>
            </w:r>
          </w:p>
        </w:tc>
        <w:tc>
          <w:tcPr>
            <w:tcW w:w="2547" w:type="dxa"/>
          </w:tcPr>
          <w:p w14:paraId="5E938E5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196 (17)</w:t>
            </w:r>
          </w:p>
        </w:tc>
        <w:tc>
          <w:tcPr>
            <w:tcW w:w="2547" w:type="dxa"/>
          </w:tcPr>
          <w:p w14:paraId="5DC83BDA"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413 (17)</w:t>
            </w:r>
          </w:p>
        </w:tc>
        <w:tc>
          <w:tcPr>
            <w:tcW w:w="2549" w:type="dxa"/>
          </w:tcPr>
          <w:p w14:paraId="65AD0664"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910 (15)</w:t>
            </w:r>
          </w:p>
        </w:tc>
      </w:tr>
      <w:tr w:rsidR="00FC00EE" w:rsidRPr="00C9603D" w14:paraId="5F87130A" w14:textId="77777777" w:rsidTr="00C54A99">
        <w:trPr>
          <w:trHeight w:val="120"/>
        </w:trPr>
        <w:tc>
          <w:tcPr>
            <w:tcW w:w="2547" w:type="dxa"/>
          </w:tcPr>
          <w:p w14:paraId="23E52428"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spellStart"/>
            <w:r w:rsidRPr="00C9603D">
              <w:rPr>
                <w:rFonts w:ascii="Times New Roman" w:hAnsi="Times New Roman" w:cs="Times New Roman"/>
                <w:color w:val="000000"/>
                <w:sz w:val="24"/>
                <w:szCs w:val="24"/>
              </w:rPr>
              <w:t>t</w:t>
            </w:r>
            <w:r w:rsidRPr="00C9603D">
              <w:rPr>
                <w:rFonts w:ascii="Times New Roman" w:hAnsi="Times New Roman" w:cs="Times New Roman"/>
                <w:color w:val="000000"/>
                <w:sz w:val="24"/>
                <w:szCs w:val="24"/>
                <w:vertAlign w:val="subscript"/>
              </w:rPr>
              <w:t>max</w:t>
            </w:r>
            <w:proofErr w:type="spellEnd"/>
            <w:r w:rsidRPr="00C9603D">
              <w:rPr>
                <w:rFonts w:ascii="Times New Roman" w:hAnsi="Times New Roman" w:cs="Times New Roman"/>
                <w:color w:val="202124"/>
                <w:sz w:val="20"/>
                <w:szCs w:val="20"/>
                <w:shd w:val="clear" w:color="auto" w:fill="FFFFFF"/>
                <w:vertAlign w:val="superscript"/>
              </w:rPr>
              <w:t>†</w:t>
            </w:r>
            <w:r w:rsidRPr="00C9603D">
              <w:rPr>
                <w:rFonts w:ascii="Times New Roman" w:hAnsi="Times New Roman" w:cs="Times New Roman"/>
                <w:color w:val="000000"/>
                <w:sz w:val="24"/>
                <w:szCs w:val="24"/>
              </w:rPr>
              <w:t xml:space="preserve"> (h) </w:t>
            </w:r>
          </w:p>
        </w:tc>
        <w:tc>
          <w:tcPr>
            <w:tcW w:w="2547" w:type="dxa"/>
          </w:tcPr>
          <w:p w14:paraId="28A8C97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2.07 (1.28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3.20)</w:t>
            </w:r>
          </w:p>
        </w:tc>
        <w:tc>
          <w:tcPr>
            <w:tcW w:w="2547" w:type="dxa"/>
          </w:tcPr>
          <w:p w14:paraId="6E454672"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2.07 (1.78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3.02)</w:t>
            </w:r>
          </w:p>
        </w:tc>
        <w:tc>
          <w:tcPr>
            <w:tcW w:w="2549" w:type="dxa"/>
          </w:tcPr>
          <w:p w14:paraId="72AC8569"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2.90 (2.47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3.22)</w:t>
            </w:r>
          </w:p>
        </w:tc>
      </w:tr>
      <w:tr w:rsidR="00FC00EE" w:rsidRPr="00C9603D" w14:paraId="2BAE4088" w14:textId="77777777" w:rsidTr="00C54A99">
        <w:trPr>
          <w:trHeight w:val="104"/>
        </w:trPr>
        <w:tc>
          <w:tcPr>
            <w:tcW w:w="2547" w:type="dxa"/>
          </w:tcPr>
          <w:p w14:paraId="5BF25740"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t</w:t>
            </w:r>
            <w:r w:rsidRPr="00C9603D">
              <w:rPr>
                <w:rFonts w:ascii="Times New Roman" w:hAnsi="Times New Roman" w:cs="Times New Roman"/>
                <w:color w:val="000000"/>
                <w:sz w:val="24"/>
                <w:szCs w:val="24"/>
                <w:vertAlign w:val="subscript"/>
              </w:rPr>
              <w:t>1/2</w:t>
            </w:r>
            <w:r w:rsidRPr="00C9603D">
              <w:rPr>
                <w:rFonts w:ascii="Times New Roman" w:hAnsi="Times New Roman" w:cs="Times New Roman"/>
                <w:sz w:val="20"/>
                <w:szCs w:val="20"/>
                <w:shd w:val="clear" w:color="auto" w:fill="FFFFFF"/>
                <w:vertAlign w:val="superscript"/>
              </w:rPr>
              <w:t>‡</w:t>
            </w:r>
            <w:r w:rsidRPr="00C9603D">
              <w:rPr>
                <w:rFonts w:ascii="Times New Roman" w:hAnsi="Times New Roman" w:cs="Times New Roman"/>
                <w:color w:val="000000"/>
                <w:sz w:val="24"/>
                <w:szCs w:val="24"/>
              </w:rPr>
              <w:t xml:space="preserve"> (days) </w:t>
            </w:r>
          </w:p>
        </w:tc>
        <w:tc>
          <w:tcPr>
            <w:tcW w:w="2547" w:type="dxa"/>
          </w:tcPr>
          <w:p w14:paraId="7B0A0C4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10.3 (5.4 – 14.5)</w:t>
            </w:r>
          </w:p>
        </w:tc>
        <w:tc>
          <w:tcPr>
            <w:tcW w:w="2547" w:type="dxa"/>
          </w:tcPr>
          <w:p w14:paraId="4B873FA4"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9.3 (5.6 – 16.2)</w:t>
            </w:r>
          </w:p>
        </w:tc>
        <w:tc>
          <w:tcPr>
            <w:tcW w:w="2549" w:type="dxa"/>
          </w:tcPr>
          <w:p w14:paraId="1EA143A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8.3 (6.8 – 11.3)</w:t>
            </w:r>
          </w:p>
        </w:tc>
      </w:tr>
      <w:tr w:rsidR="00FC00EE" w:rsidRPr="00C9603D" w14:paraId="0ABA3871" w14:textId="77777777" w:rsidTr="00C54A99">
        <w:trPr>
          <w:trHeight w:val="104"/>
        </w:trPr>
        <w:tc>
          <w:tcPr>
            <w:tcW w:w="2547" w:type="dxa"/>
          </w:tcPr>
          <w:p w14:paraId="56EE5E79"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CL (L/h) </w:t>
            </w:r>
          </w:p>
        </w:tc>
        <w:tc>
          <w:tcPr>
            <w:tcW w:w="2547" w:type="dxa"/>
          </w:tcPr>
          <w:p w14:paraId="11AB2339"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0.0264 (45)</w:t>
            </w:r>
          </w:p>
        </w:tc>
        <w:tc>
          <w:tcPr>
            <w:tcW w:w="2547" w:type="dxa"/>
          </w:tcPr>
          <w:p w14:paraId="6D72FE52"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0.0238 (15)</w:t>
            </w:r>
          </w:p>
        </w:tc>
        <w:tc>
          <w:tcPr>
            <w:tcW w:w="2549" w:type="dxa"/>
          </w:tcPr>
          <w:p w14:paraId="6F938DF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0.0221 (14)</w:t>
            </w:r>
          </w:p>
        </w:tc>
      </w:tr>
      <w:tr w:rsidR="00FC00EE" w:rsidRPr="00C9603D" w14:paraId="38A10B40" w14:textId="77777777" w:rsidTr="00C54A99">
        <w:trPr>
          <w:trHeight w:val="104"/>
        </w:trPr>
        <w:tc>
          <w:tcPr>
            <w:tcW w:w="2547" w:type="dxa"/>
          </w:tcPr>
          <w:p w14:paraId="2513F655"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spellStart"/>
            <w:r w:rsidRPr="00C9603D">
              <w:rPr>
                <w:rFonts w:ascii="Times New Roman" w:hAnsi="Times New Roman" w:cs="Times New Roman"/>
                <w:color w:val="000000"/>
                <w:sz w:val="24"/>
                <w:szCs w:val="24"/>
              </w:rPr>
              <w:t>V</w:t>
            </w:r>
            <w:r w:rsidRPr="00C9603D">
              <w:rPr>
                <w:rFonts w:ascii="Times New Roman" w:hAnsi="Times New Roman" w:cs="Times New Roman"/>
                <w:color w:val="000000"/>
                <w:sz w:val="24"/>
                <w:szCs w:val="24"/>
                <w:vertAlign w:val="subscript"/>
              </w:rPr>
              <w:t>z</w:t>
            </w:r>
            <w:proofErr w:type="spellEnd"/>
            <w:r w:rsidRPr="00C9603D">
              <w:rPr>
                <w:rFonts w:ascii="Times New Roman" w:hAnsi="Times New Roman" w:cs="Times New Roman"/>
                <w:color w:val="000000"/>
                <w:sz w:val="24"/>
                <w:szCs w:val="24"/>
              </w:rPr>
              <w:t xml:space="preserve"> (L) </w:t>
            </w:r>
          </w:p>
        </w:tc>
        <w:tc>
          <w:tcPr>
            <w:tcW w:w="2547" w:type="dxa"/>
          </w:tcPr>
          <w:p w14:paraId="09DDE5F6"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9.40 (57)</w:t>
            </w:r>
          </w:p>
        </w:tc>
        <w:tc>
          <w:tcPr>
            <w:tcW w:w="2547" w:type="dxa"/>
          </w:tcPr>
          <w:p w14:paraId="20CBC1F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7.70 (46)</w:t>
            </w:r>
          </w:p>
        </w:tc>
        <w:tc>
          <w:tcPr>
            <w:tcW w:w="2549" w:type="dxa"/>
          </w:tcPr>
          <w:p w14:paraId="43DE0CE2"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6.36 (23)</w:t>
            </w:r>
          </w:p>
        </w:tc>
      </w:tr>
      <w:tr w:rsidR="00FC00EE" w:rsidRPr="00C9603D" w14:paraId="059815FA" w14:textId="77777777" w:rsidTr="00C54A99">
        <w:trPr>
          <w:trHeight w:val="104"/>
        </w:trPr>
        <w:tc>
          <w:tcPr>
            <w:tcW w:w="2547" w:type="dxa"/>
          </w:tcPr>
          <w:p w14:paraId="1539653A"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AUC(0-t</w:t>
            </w:r>
            <w:r w:rsidRPr="00C9603D">
              <w:rPr>
                <w:rFonts w:ascii="Times New Roman" w:hAnsi="Times New Roman" w:cs="Times New Roman"/>
                <w:color w:val="000000"/>
                <w:sz w:val="24"/>
                <w:szCs w:val="24"/>
                <w:vertAlign w:val="subscript"/>
              </w:rPr>
              <w:t>last</w:t>
            </w:r>
            <w:r w:rsidRPr="00C9603D">
              <w:rPr>
                <w:rFonts w:ascii="Times New Roman" w:hAnsi="Times New Roman" w:cs="Times New Roman"/>
                <w:color w:val="000000"/>
                <w:sz w:val="24"/>
                <w:szCs w:val="24"/>
              </w:rPr>
              <w:t>) (</w:t>
            </w:r>
            <w:proofErr w:type="spellStart"/>
            <w:r w:rsidRPr="00C9603D">
              <w:rPr>
                <w:rFonts w:ascii="Times New Roman" w:hAnsi="Times New Roman" w:cs="Times New Roman"/>
                <w:color w:val="000000"/>
                <w:sz w:val="24"/>
                <w:szCs w:val="24"/>
              </w:rPr>
              <w:t>ug.h</w:t>
            </w:r>
            <w:proofErr w:type="spellEnd"/>
            <w:r w:rsidRPr="00C9603D">
              <w:rPr>
                <w:rFonts w:ascii="Times New Roman" w:hAnsi="Times New Roman" w:cs="Times New Roman"/>
                <w:color w:val="000000"/>
                <w:sz w:val="24"/>
                <w:szCs w:val="24"/>
              </w:rPr>
              <w:t xml:space="preserve">/mL) </w:t>
            </w:r>
          </w:p>
        </w:tc>
        <w:tc>
          <w:tcPr>
            <w:tcW w:w="2547" w:type="dxa"/>
          </w:tcPr>
          <w:p w14:paraId="55ED26C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25700 (20)</w:t>
            </w:r>
          </w:p>
        </w:tc>
        <w:tc>
          <w:tcPr>
            <w:tcW w:w="2547" w:type="dxa"/>
          </w:tcPr>
          <w:p w14:paraId="05F58FCA"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59400 (19)</w:t>
            </w:r>
          </w:p>
        </w:tc>
        <w:tc>
          <w:tcPr>
            <w:tcW w:w="2549" w:type="dxa"/>
          </w:tcPr>
          <w:p w14:paraId="3899F6A6"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110000 (32)</w:t>
            </w:r>
          </w:p>
        </w:tc>
      </w:tr>
      <w:tr w:rsidR="00FC00EE" w:rsidRPr="00C9603D" w14:paraId="5775E6F8" w14:textId="77777777" w:rsidTr="00C54A99">
        <w:trPr>
          <w:trHeight w:val="104"/>
        </w:trPr>
        <w:tc>
          <w:tcPr>
            <w:tcW w:w="2547" w:type="dxa"/>
          </w:tcPr>
          <w:p w14:paraId="368FB8DD"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gramStart"/>
            <w:r w:rsidRPr="00C9603D">
              <w:rPr>
                <w:rFonts w:ascii="Times New Roman" w:hAnsi="Times New Roman" w:cs="Times New Roman"/>
                <w:color w:val="000000"/>
                <w:sz w:val="24"/>
                <w:szCs w:val="24"/>
              </w:rPr>
              <w:t>AUC(</w:t>
            </w:r>
            <w:proofErr w:type="gramEnd"/>
            <w:r w:rsidRPr="00C9603D">
              <w:rPr>
                <w:rFonts w:ascii="Times New Roman" w:hAnsi="Times New Roman" w:cs="Times New Roman"/>
                <w:color w:val="000000"/>
                <w:sz w:val="24"/>
                <w:szCs w:val="24"/>
              </w:rPr>
              <w:t>0-∞) (</w:t>
            </w:r>
            <w:proofErr w:type="spellStart"/>
            <w:r w:rsidRPr="00C9603D">
              <w:rPr>
                <w:rFonts w:ascii="Times New Roman" w:hAnsi="Times New Roman" w:cs="Times New Roman"/>
                <w:color w:val="000000"/>
                <w:sz w:val="24"/>
                <w:szCs w:val="24"/>
              </w:rPr>
              <w:t>ug.h</w:t>
            </w:r>
            <w:proofErr w:type="spellEnd"/>
            <w:r w:rsidRPr="00C9603D">
              <w:rPr>
                <w:rFonts w:ascii="Times New Roman" w:hAnsi="Times New Roman" w:cs="Times New Roman"/>
                <w:color w:val="000000"/>
                <w:sz w:val="24"/>
                <w:szCs w:val="24"/>
              </w:rPr>
              <w:t xml:space="preserve">/mL) </w:t>
            </w:r>
          </w:p>
        </w:tc>
        <w:tc>
          <w:tcPr>
            <w:tcW w:w="2547" w:type="dxa"/>
          </w:tcPr>
          <w:p w14:paraId="42B3D418"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26200 (19)</w:t>
            </w:r>
          </w:p>
        </w:tc>
        <w:tc>
          <w:tcPr>
            <w:tcW w:w="2547" w:type="dxa"/>
          </w:tcPr>
          <w:p w14:paraId="07DC8672"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60500 (18)</w:t>
            </w:r>
          </w:p>
        </w:tc>
        <w:tc>
          <w:tcPr>
            <w:tcW w:w="2549" w:type="dxa"/>
          </w:tcPr>
          <w:p w14:paraId="321E823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112000 (30)</w:t>
            </w:r>
          </w:p>
        </w:tc>
      </w:tr>
    </w:tbl>
    <w:p w14:paraId="612AAF61" w14:textId="77777777" w:rsidR="00FC00EE" w:rsidRPr="00C9603D" w:rsidRDefault="00FC00EE" w:rsidP="00FC00EE">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202124"/>
          <w:sz w:val="24"/>
          <w:szCs w:val="24"/>
          <w:shd w:val="clear" w:color="auto" w:fill="FFFFFF"/>
          <w:vertAlign w:val="superscript"/>
        </w:rPr>
        <w:t>†</w:t>
      </w:r>
      <w:r w:rsidRPr="00C9603D">
        <w:rPr>
          <w:rFonts w:ascii="Times New Roman" w:hAnsi="Times New Roman" w:cs="Times New Roman"/>
          <w:color w:val="000000"/>
          <w:sz w:val="24"/>
          <w:szCs w:val="24"/>
        </w:rPr>
        <w:t xml:space="preserve">Median (range). </w:t>
      </w:r>
    </w:p>
    <w:p w14:paraId="3D96FCAC" w14:textId="77777777" w:rsidR="00FC00EE" w:rsidRPr="00C9603D" w:rsidRDefault="00FC00EE" w:rsidP="00FC00EE">
      <w:pPr>
        <w:rPr>
          <w:rFonts w:ascii="Times New Roman" w:hAnsi="Times New Roman" w:cs="Times New Roman"/>
          <w:sz w:val="24"/>
          <w:szCs w:val="24"/>
        </w:rPr>
      </w:pPr>
      <w:r w:rsidRPr="00C9603D">
        <w:rPr>
          <w:rFonts w:ascii="Times New Roman" w:hAnsi="Times New Roman" w:cs="Times New Roman"/>
          <w:sz w:val="24"/>
          <w:szCs w:val="24"/>
          <w:shd w:val="clear" w:color="auto" w:fill="FFFFFF"/>
          <w:vertAlign w:val="superscript"/>
        </w:rPr>
        <w:t>‡</w:t>
      </w:r>
      <w:r w:rsidRPr="00C9603D">
        <w:rPr>
          <w:rFonts w:ascii="Times New Roman" w:hAnsi="Times New Roman" w:cs="Times New Roman"/>
          <w:color w:val="000000"/>
          <w:sz w:val="24"/>
          <w:szCs w:val="24"/>
        </w:rPr>
        <w:t>Geometric mean (range).</w:t>
      </w:r>
    </w:p>
    <w:p w14:paraId="6468238E" w14:textId="77777777" w:rsidR="00FC00EE" w:rsidRPr="00C9603D" w:rsidRDefault="00FC00EE" w:rsidP="00FC00EE">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Abbreviations: AUC = area under the concentration versus time curve; AUC(0-∞) = AUC from zero to infinity; AUC(0-tlast) = AUC from time zero to time t, where </w:t>
      </w:r>
      <w:proofErr w:type="spellStart"/>
      <w:r w:rsidRPr="00C9603D">
        <w:rPr>
          <w:rFonts w:ascii="Times New Roman" w:hAnsi="Times New Roman" w:cs="Times New Roman"/>
          <w:color w:val="000000"/>
          <w:sz w:val="24"/>
          <w:szCs w:val="24"/>
        </w:rPr>
        <w:t>t</w:t>
      </w:r>
      <w:proofErr w:type="spellEnd"/>
      <w:r w:rsidRPr="00C9603D">
        <w:rPr>
          <w:rFonts w:ascii="Times New Roman" w:hAnsi="Times New Roman" w:cs="Times New Roman"/>
          <w:color w:val="000000"/>
          <w:sz w:val="24"/>
          <w:szCs w:val="24"/>
        </w:rPr>
        <w:t xml:space="preserve"> is the last time point with a measurable concentration; CL = total body clearance of drug calculated after intravenous administration; C</w:t>
      </w:r>
      <w:r w:rsidRPr="00C9603D">
        <w:rPr>
          <w:rFonts w:ascii="Times New Roman" w:hAnsi="Times New Roman" w:cs="Times New Roman"/>
          <w:color w:val="000000"/>
          <w:sz w:val="24"/>
          <w:szCs w:val="24"/>
          <w:vertAlign w:val="subscript"/>
        </w:rPr>
        <w:t>max</w:t>
      </w:r>
      <w:r w:rsidRPr="00C9603D">
        <w:rPr>
          <w:rFonts w:ascii="Times New Roman" w:hAnsi="Times New Roman" w:cs="Times New Roman"/>
          <w:color w:val="000000"/>
          <w:sz w:val="24"/>
          <w:szCs w:val="24"/>
        </w:rPr>
        <w:t xml:space="preserve"> = maximum observed drug concentration; CV = coefficient of variation; N = number of participants; PK = pharmacokinetic; SAD = single ascending dose; t</w:t>
      </w:r>
      <w:r w:rsidRPr="00C9603D">
        <w:rPr>
          <w:rFonts w:ascii="Times New Roman" w:hAnsi="Times New Roman" w:cs="Times New Roman"/>
          <w:color w:val="000000"/>
          <w:sz w:val="24"/>
          <w:szCs w:val="24"/>
          <w:vertAlign w:val="subscript"/>
        </w:rPr>
        <w:t>1/2</w:t>
      </w:r>
      <w:r w:rsidRPr="00C9603D">
        <w:rPr>
          <w:rFonts w:ascii="Times New Roman" w:hAnsi="Times New Roman" w:cs="Times New Roman"/>
          <w:color w:val="000000"/>
          <w:sz w:val="24"/>
          <w:szCs w:val="24"/>
        </w:rPr>
        <w:t xml:space="preserve"> = half-life associated with the terminal rate constant in noncompartmental analysis; </w:t>
      </w:r>
      <w:proofErr w:type="spellStart"/>
      <w:r w:rsidRPr="00C9603D">
        <w:rPr>
          <w:rFonts w:ascii="Times New Roman" w:hAnsi="Times New Roman" w:cs="Times New Roman"/>
          <w:color w:val="000000"/>
          <w:sz w:val="24"/>
          <w:szCs w:val="24"/>
        </w:rPr>
        <w:t>tmax</w:t>
      </w:r>
      <w:proofErr w:type="spellEnd"/>
      <w:r w:rsidRPr="00C9603D">
        <w:rPr>
          <w:rFonts w:ascii="Times New Roman" w:hAnsi="Times New Roman" w:cs="Times New Roman"/>
          <w:color w:val="000000"/>
          <w:sz w:val="24"/>
          <w:szCs w:val="24"/>
        </w:rPr>
        <w:t xml:space="preserve"> = time of Cmax; </w:t>
      </w:r>
      <w:proofErr w:type="spellStart"/>
      <w:r w:rsidRPr="00C9603D">
        <w:rPr>
          <w:rFonts w:ascii="Times New Roman" w:hAnsi="Times New Roman" w:cs="Times New Roman"/>
          <w:color w:val="000000"/>
          <w:sz w:val="24"/>
          <w:szCs w:val="24"/>
        </w:rPr>
        <w:t>V</w:t>
      </w:r>
      <w:r w:rsidRPr="00C9603D">
        <w:rPr>
          <w:rFonts w:ascii="Times New Roman" w:hAnsi="Times New Roman" w:cs="Times New Roman"/>
          <w:color w:val="000000"/>
          <w:sz w:val="24"/>
          <w:szCs w:val="24"/>
          <w:vertAlign w:val="subscript"/>
        </w:rPr>
        <w:t>z</w:t>
      </w:r>
      <w:proofErr w:type="spellEnd"/>
      <w:r w:rsidRPr="00C9603D">
        <w:rPr>
          <w:rFonts w:ascii="Times New Roman" w:hAnsi="Times New Roman" w:cs="Times New Roman"/>
          <w:color w:val="000000"/>
          <w:sz w:val="24"/>
          <w:szCs w:val="24"/>
        </w:rPr>
        <w:t xml:space="preserve"> = volume of distribution during the terminal phase. </w:t>
      </w:r>
    </w:p>
    <w:p w14:paraId="0A28ECF5" w14:textId="77777777" w:rsidR="00FC00EE" w:rsidRPr="00C9603D" w:rsidRDefault="00FC00EE" w:rsidP="00FC00EE">
      <w:pPr>
        <w:rPr>
          <w:rFonts w:ascii="Times New Roman" w:hAnsi="Times New Roman" w:cs="Times New Roman"/>
          <w:color w:val="000000"/>
          <w:sz w:val="15"/>
          <w:szCs w:val="15"/>
        </w:rPr>
        <w:sectPr w:rsidR="00FC00EE" w:rsidRPr="00C9603D" w:rsidSect="005C62B1">
          <w:pgSz w:w="12240" w:h="15840"/>
          <w:pgMar w:top="1440" w:right="1440" w:bottom="1440" w:left="1440" w:header="720" w:footer="720" w:gutter="0"/>
          <w:cols w:space="720"/>
          <w:docGrid w:linePitch="360"/>
        </w:sectPr>
      </w:pPr>
    </w:p>
    <w:p w14:paraId="5F173BD5" w14:textId="77777777" w:rsidR="00FC00EE" w:rsidRPr="00C9603D" w:rsidRDefault="00FC00EE" w:rsidP="00FC00EE">
      <w:pPr>
        <w:rPr>
          <w:rFonts w:ascii="Times New Roman" w:hAnsi="Times New Roman" w:cs="Times New Roman"/>
          <w:color w:val="000000"/>
          <w:sz w:val="15"/>
          <w:szCs w:val="15"/>
        </w:rPr>
      </w:pPr>
    </w:p>
    <w:p w14:paraId="195F4980" w14:textId="2C76BB46" w:rsidR="00FC00EE" w:rsidRPr="00C9603D" w:rsidRDefault="00FC00EE" w:rsidP="00FC00EE">
      <w:pPr>
        <w:rPr>
          <w:rFonts w:ascii="Times New Roman" w:hAnsi="Times New Roman" w:cs="Times New Roman"/>
          <w:sz w:val="24"/>
          <w:szCs w:val="24"/>
        </w:rPr>
      </w:pPr>
      <w:r w:rsidRPr="00C9603D">
        <w:rPr>
          <w:rFonts w:ascii="Times New Roman" w:hAnsi="Times New Roman" w:cs="Times New Roman"/>
          <w:b/>
          <w:bCs/>
          <w:color w:val="000000"/>
          <w:sz w:val="24"/>
          <w:szCs w:val="24"/>
        </w:rPr>
        <w:t>Supplemental Table 2:</w:t>
      </w:r>
      <w:r w:rsidRPr="00C9603D">
        <w:rPr>
          <w:rFonts w:ascii="Times New Roman" w:hAnsi="Times New Roman" w:cs="Times New Roman"/>
          <w:color w:val="000000"/>
          <w:sz w:val="24"/>
          <w:szCs w:val="24"/>
        </w:rPr>
        <w:t xml:space="preserve"> </w:t>
      </w:r>
      <w:r w:rsidRPr="00C9603D">
        <w:rPr>
          <w:rFonts w:ascii="Times New Roman" w:hAnsi="Times New Roman" w:cs="Times New Roman"/>
          <w:sz w:val="24"/>
          <w:szCs w:val="24"/>
        </w:rPr>
        <w:t xml:space="preserve">Summary PK Parameters for </w:t>
      </w:r>
      <w:r>
        <w:rPr>
          <w:rFonts w:ascii="Times New Roman" w:hAnsi="Times New Roman" w:cs="Times New Roman"/>
          <w:sz w:val="24"/>
          <w:szCs w:val="24"/>
        </w:rPr>
        <w:t xml:space="preserve">Multiple Dose </w:t>
      </w:r>
      <w:r w:rsidRPr="00B34E21">
        <w:rPr>
          <w:rFonts w:ascii="Times New Roman" w:hAnsi="Times New Roman" w:cs="Times New Roman"/>
          <w:sz w:val="24"/>
          <w:szCs w:val="24"/>
        </w:rPr>
        <w:t>Cohorts (</w:t>
      </w:r>
      <w:r w:rsidRPr="00C9603D">
        <w:rPr>
          <w:rFonts w:ascii="Times New Roman" w:hAnsi="Times New Roman" w:cs="Times New Roman"/>
          <w:sz w:val="24"/>
          <w:szCs w:val="24"/>
        </w:rPr>
        <w:t>Day 1)</w:t>
      </w:r>
    </w:p>
    <w:tbl>
      <w:tblPr>
        <w:tblW w:w="11808" w:type="dxa"/>
        <w:tblInd w:w="-108" w:type="dxa"/>
        <w:tblBorders>
          <w:top w:val="single" w:sz="4" w:space="0" w:color="auto"/>
          <w:bottom w:val="single" w:sz="4" w:space="0" w:color="auto"/>
        </w:tblBorders>
        <w:tblLayout w:type="fixed"/>
        <w:tblLook w:val="0000" w:firstRow="0" w:lastRow="0" w:firstColumn="0" w:lastColumn="0" w:noHBand="0" w:noVBand="0"/>
      </w:tblPr>
      <w:tblGrid>
        <w:gridCol w:w="2353"/>
        <w:gridCol w:w="2340"/>
        <w:gridCol w:w="2430"/>
        <w:gridCol w:w="2250"/>
        <w:gridCol w:w="2435"/>
      </w:tblGrid>
      <w:tr w:rsidR="00FC00EE" w:rsidRPr="00C9603D" w14:paraId="6F075DCA" w14:textId="77777777" w:rsidTr="00C54A99">
        <w:trPr>
          <w:trHeight w:val="110"/>
        </w:trPr>
        <w:tc>
          <w:tcPr>
            <w:tcW w:w="11808" w:type="dxa"/>
            <w:gridSpan w:val="5"/>
            <w:tcBorders>
              <w:top w:val="single" w:sz="4" w:space="0" w:color="auto"/>
              <w:bottom w:val="nil"/>
            </w:tcBorders>
          </w:tcPr>
          <w:p w14:paraId="77937549"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Geometric Mean (CV%)</w:t>
            </w:r>
          </w:p>
        </w:tc>
      </w:tr>
      <w:tr w:rsidR="00FC00EE" w:rsidRPr="00C9603D" w14:paraId="62824528" w14:textId="77777777" w:rsidTr="00C54A99">
        <w:trPr>
          <w:trHeight w:val="110"/>
        </w:trPr>
        <w:tc>
          <w:tcPr>
            <w:tcW w:w="11808" w:type="dxa"/>
            <w:gridSpan w:val="5"/>
            <w:tcBorders>
              <w:top w:val="nil"/>
              <w:bottom w:val="nil"/>
            </w:tcBorders>
          </w:tcPr>
          <w:p w14:paraId="08A5FA5C"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 xml:space="preserve">Serum </w:t>
            </w:r>
            <w:r>
              <w:rPr>
                <w:rFonts w:ascii="Times New Roman" w:hAnsi="Times New Roman" w:cs="Times New Roman"/>
                <w:b/>
                <w:bCs/>
                <w:color w:val="000000"/>
                <w:sz w:val="24"/>
                <w:szCs w:val="24"/>
              </w:rPr>
              <w:t>Donanemab</w:t>
            </w:r>
            <w:r w:rsidRPr="00C9603D" w:rsidDel="005B6049">
              <w:rPr>
                <w:rFonts w:ascii="Times New Roman" w:hAnsi="Times New Roman" w:cs="Times New Roman"/>
                <w:b/>
                <w:bCs/>
                <w:color w:val="000000"/>
                <w:sz w:val="24"/>
                <w:szCs w:val="24"/>
              </w:rPr>
              <w:t xml:space="preserve"> </w:t>
            </w:r>
            <w:r w:rsidRPr="00C9603D">
              <w:rPr>
                <w:rFonts w:ascii="Times New Roman" w:hAnsi="Times New Roman" w:cs="Times New Roman"/>
                <w:b/>
                <w:bCs/>
                <w:color w:val="000000"/>
                <w:sz w:val="24"/>
                <w:szCs w:val="24"/>
              </w:rPr>
              <w:t>(Day 1 Profile)</w:t>
            </w:r>
          </w:p>
        </w:tc>
      </w:tr>
      <w:tr w:rsidR="00FC00EE" w:rsidRPr="00C9603D" w14:paraId="6F9C08A0" w14:textId="77777777" w:rsidTr="00C54A99">
        <w:trPr>
          <w:trHeight w:val="136"/>
        </w:trPr>
        <w:tc>
          <w:tcPr>
            <w:tcW w:w="2353" w:type="dxa"/>
            <w:tcBorders>
              <w:top w:val="nil"/>
              <w:bottom w:val="single" w:sz="4" w:space="0" w:color="auto"/>
            </w:tcBorders>
          </w:tcPr>
          <w:p w14:paraId="3AA3F00A"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 xml:space="preserve">Treatment </w:t>
            </w:r>
          </w:p>
        </w:tc>
        <w:tc>
          <w:tcPr>
            <w:tcW w:w="2340" w:type="dxa"/>
            <w:tcBorders>
              <w:top w:val="nil"/>
              <w:bottom w:val="single" w:sz="4" w:space="0" w:color="auto"/>
            </w:tcBorders>
          </w:tcPr>
          <w:p w14:paraId="3E3C87AD"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10</w:t>
            </w:r>
            <w:r>
              <w:rPr>
                <w:rFonts w:ascii="Times New Roman" w:hAnsi="Times New Roman" w:cs="Times New Roman"/>
                <w:b/>
                <w:bCs/>
                <w:color w:val="000000"/>
                <w:sz w:val="24"/>
                <w:szCs w:val="24"/>
              </w:rPr>
              <w:t xml:space="preserve"> </w:t>
            </w:r>
            <w:r w:rsidRPr="00C9603D">
              <w:rPr>
                <w:rFonts w:ascii="Times New Roman" w:hAnsi="Times New Roman" w:cs="Times New Roman"/>
                <w:b/>
                <w:bCs/>
                <w:color w:val="000000"/>
                <w:sz w:val="24"/>
                <w:szCs w:val="24"/>
              </w:rPr>
              <w:t>mg/kg-Q2W</w:t>
            </w:r>
            <w:r w:rsidRPr="0077053D">
              <w:rPr>
                <w:rFonts w:ascii="Times New Roman" w:hAnsi="Times New Roman" w:cs="Times New Roman"/>
                <w:color w:val="202124"/>
                <w:sz w:val="24"/>
                <w:szCs w:val="24"/>
                <w:shd w:val="clear" w:color="auto" w:fill="FFFFFF"/>
                <w:vertAlign w:val="superscript"/>
              </w:rPr>
              <w:t>§</w:t>
            </w:r>
          </w:p>
        </w:tc>
        <w:tc>
          <w:tcPr>
            <w:tcW w:w="2430" w:type="dxa"/>
            <w:tcBorders>
              <w:top w:val="nil"/>
              <w:bottom w:val="single" w:sz="4" w:space="0" w:color="auto"/>
            </w:tcBorders>
          </w:tcPr>
          <w:p w14:paraId="332DBBBC"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10</w:t>
            </w:r>
            <w:r>
              <w:rPr>
                <w:rFonts w:ascii="Times New Roman" w:hAnsi="Times New Roman" w:cs="Times New Roman"/>
                <w:b/>
                <w:bCs/>
                <w:color w:val="000000"/>
                <w:sz w:val="24"/>
                <w:szCs w:val="24"/>
              </w:rPr>
              <w:t xml:space="preserve"> </w:t>
            </w:r>
            <w:r w:rsidRPr="00C9603D">
              <w:rPr>
                <w:rFonts w:ascii="Times New Roman" w:hAnsi="Times New Roman" w:cs="Times New Roman"/>
                <w:b/>
                <w:bCs/>
                <w:color w:val="000000"/>
                <w:sz w:val="24"/>
                <w:szCs w:val="24"/>
              </w:rPr>
              <w:t>mg/kg-Q2W</w:t>
            </w:r>
            <w:r w:rsidRPr="00C9603D">
              <w:rPr>
                <w:rFonts w:ascii="Times New Roman" w:hAnsi="Times New Roman" w:cs="Times New Roman"/>
                <w:color w:val="202124"/>
                <w:sz w:val="24"/>
                <w:szCs w:val="24"/>
                <w:shd w:val="clear" w:color="auto" w:fill="FFFFFF"/>
                <w:vertAlign w:val="superscript"/>
              </w:rPr>
              <w:t>¶</w:t>
            </w:r>
          </w:p>
        </w:tc>
        <w:tc>
          <w:tcPr>
            <w:tcW w:w="2250" w:type="dxa"/>
            <w:tcBorders>
              <w:top w:val="nil"/>
              <w:bottom w:val="single" w:sz="4" w:space="0" w:color="auto"/>
            </w:tcBorders>
          </w:tcPr>
          <w:p w14:paraId="7C87E480"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10</w:t>
            </w:r>
            <w:r>
              <w:rPr>
                <w:rFonts w:ascii="Times New Roman" w:hAnsi="Times New Roman" w:cs="Times New Roman"/>
                <w:b/>
                <w:bCs/>
                <w:color w:val="000000"/>
                <w:sz w:val="24"/>
                <w:szCs w:val="24"/>
              </w:rPr>
              <w:t xml:space="preserve"> </w:t>
            </w:r>
            <w:r w:rsidRPr="00C9603D">
              <w:rPr>
                <w:rFonts w:ascii="Times New Roman" w:hAnsi="Times New Roman" w:cs="Times New Roman"/>
                <w:b/>
                <w:bCs/>
                <w:color w:val="000000"/>
                <w:sz w:val="24"/>
                <w:szCs w:val="24"/>
              </w:rPr>
              <w:t>mg/kg-Q4W</w:t>
            </w:r>
          </w:p>
        </w:tc>
        <w:tc>
          <w:tcPr>
            <w:tcW w:w="2435" w:type="dxa"/>
            <w:tcBorders>
              <w:top w:val="nil"/>
              <w:bottom w:val="single" w:sz="4" w:space="0" w:color="auto"/>
            </w:tcBorders>
          </w:tcPr>
          <w:p w14:paraId="0455EE1A"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b/>
                <w:bCs/>
                <w:color w:val="000000"/>
                <w:sz w:val="24"/>
                <w:szCs w:val="24"/>
              </w:rPr>
              <w:t>20</w:t>
            </w:r>
            <w:r>
              <w:rPr>
                <w:rFonts w:ascii="Times New Roman" w:hAnsi="Times New Roman" w:cs="Times New Roman"/>
                <w:b/>
                <w:bCs/>
                <w:color w:val="000000"/>
                <w:sz w:val="24"/>
                <w:szCs w:val="24"/>
              </w:rPr>
              <w:t xml:space="preserve"> </w:t>
            </w:r>
            <w:r w:rsidRPr="00C9603D">
              <w:rPr>
                <w:rFonts w:ascii="Times New Roman" w:hAnsi="Times New Roman" w:cs="Times New Roman"/>
                <w:b/>
                <w:bCs/>
                <w:color w:val="000000"/>
                <w:sz w:val="24"/>
                <w:szCs w:val="24"/>
              </w:rPr>
              <w:t>mg/kg-Q4W</w:t>
            </w:r>
          </w:p>
        </w:tc>
      </w:tr>
      <w:tr w:rsidR="00FC00EE" w:rsidRPr="00C9603D" w14:paraId="593EDF0E" w14:textId="77777777" w:rsidTr="00C54A99">
        <w:trPr>
          <w:trHeight w:val="107"/>
        </w:trPr>
        <w:tc>
          <w:tcPr>
            <w:tcW w:w="2353" w:type="dxa"/>
            <w:tcBorders>
              <w:top w:val="single" w:sz="4" w:space="0" w:color="auto"/>
            </w:tcBorders>
          </w:tcPr>
          <w:p w14:paraId="5003D045" w14:textId="77777777" w:rsidR="00FC00EE" w:rsidRPr="00C9603D" w:rsidRDefault="00FC00EE" w:rsidP="00C54A99">
            <w:pPr>
              <w:autoSpaceDE w:val="0"/>
              <w:autoSpaceDN w:val="0"/>
              <w:adjustRightInd w:val="0"/>
              <w:spacing w:before="240"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N</w:t>
            </w:r>
            <w:r w:rsidRPr="00C9603D">
              <w:rPr>
                <w:rFonts w:ascii="Times New Roman" w:hAnsi="Times New Roman" w:cs="Times New Roman"/>
                <w:color w:val="000000"/>
                <w:sz w:val="24"/>
                <w:szCs w:val="24"/>
                <w:vertAlign w:val="superscript"/>
              </w:rPr>
              <w:t xml:space="preserve"> </w:t>
            </w:r>
          </w:p>
        </w:tc>
        <w:tc>
          <w:tcPr>
            <w:tcW w:w="2340" w:type="dxa"/>
            <w:tcBorders>
              <w:top w:val="single" w:sz="4" w:space="0" w:color="auto"/>
            </w:tcBorders>
          </w:tcPr>
          <w:p w14:paraId="3D59C181"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10</w:t>
            </w:r>
          </w:p>
        </w:tc>
        <w:tc>
          <w:tcPr>
            <w:tcW w:w="2430" w:type="dxa"/>
            <w:tcBorders>
              <w:top w:val="single" w:sz="4" w:space="0" w:color="auto"/>
            </w:tcBorders>
          </w:tcPr>
          <w:p w14:paraId="376154EB"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9</w:t>
            </w:r>
          </w:p>
        </w:tc>
        <w:tc>
          <w:tcPr>
            <w:tcW w:w="2250" w:type="dxa"/>
            <w:tcBorders>
              <w:top w:val="single" w:sz="4" w:space="0" w:color="auto"/>
            </w:tcBorders>
          </w:tcPr>
          <w:p w14:paraId="2C039A28"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8</w:t>
            </w:r>
          </w:p>
        </w:tc>
        <w:tc>
          <w:tcPr>
            <w:tcW w:w="2435" w:type="dxa"/>
            <w:tcBorders>
              <w:top w:val="single" w:sz="4" w:space="0" w:color="auto"/>
            </w:tcBorders>
          </w:tcPr>
          <w:p w14:paraId="213DC1C1" w14:textId="77777777" w:rsidR="00FC00EE" w:rsidRPr="00C9603D" w:rsidRDefault="00FC00EE" w:rsidP="00C54A99">
            <w:pPr>
              <w:autoSpaceDE w:val="0"/>
              <w:autoSpaceDN w:val="0"/>
              <w:adjustRightInd w:val="0"/>
              <w:spacing w:before="240"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10</w:t>
            </w:r>
          </w:p>
        </w:tc>
      </w:tr>
      <w:tr w:rsidR="00FC00EE" w:rsidRPr="00C9603D" w14:paraId="53EA6A0B" w14:textId="77777777" w:rsidTr="00C54A99">
        <w:trPr>
          <w:trHeight w:val="124"/>
        </w:trPr>
        <w:tc>
          <w:tcPr>
            <w:tcW w:w="2353" w:type="dxa"/>
          </w:tcPr>
          <w:p w14:paraId="5C000309"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C</w:t>
            </w:r>
            <w:r w:rsidRPr="00C9603D">
              <w:rPr>
                <w:rFonts w:ascii="Times New Roman" w:hAnsi="Times New Roman" w:cs="Times New Roman"/>
                <w:color w:val="000000"/>
                <w:sz w:val="24"/>
                <w:szCs w:val="24"/>
                <w:vertAlign w:val="subscript"/>
              </w:rPr>
              <w:t>max</w:t>
            </w:r>
            <w:r w:rsidRPr="00C9603D">
              <w:rPr>
                <w:rFonts w:ascii="Times New Roman" w:hAnsi="Times New Roman" w:cs="Times New Roman"/>
                <w:color w:val="000000"/>
                <w:sz w:val="24"/>
                <w:szCs w:val="24"/>
              </w:rPr>
              <w:t xml:space="preserve"> (ug/mL) </w:t>
            </w:r>
          </w:p>
        </w:tc>
        <w:tc>
          <w:tcPr>
            <w:tcW w:w="2340" w:type="dxa"/>
          </w:tcPr>
          <w:p w14:paraId="07816024"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179 (82)</w:t>
            </w:r>
          </w:p>
        </w:tc>
        <w:tc>
          <w:tcPr>
            <w:tcW w:w="2430" w:type="dxa"/>
          </w:tcPr>
          <w:p w14:paraId="0951FFD3"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223 (19)</w:t>
            </w:r>
          </w:p>
        </w:tc>
        <w:tc>
          <w:tcPr>
            <w:tcW w:w="2250" w:type="dxa"/>
          </w:tcPr>
          <w:p w14:paraId="29D004B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252 (31)</w:t>
            </w:r>
          </w:p>
        </w:tc>
        <w:tc>
          <w:tcPr>
            <w:tcW w:w="2435" w:type="dxa"/>
          </w:tcPr>
          <w:p w14:paraId="2C51A9C3"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564 (26)</w:t>
            </w:r>
          </w:p>
        </w:tc>
      </w:tr>
      <w:tr w:rsidR="00FC00EE" w:rsidRPr="00C9603D" w14:paraId="339B7C21" w14:textId="77777777" w:rsidTr="00C54A99">
        <w:trPr>
          <w:trHeight w:val="124"/>
        </w:trPr>
        <w:tc>
          <w:tcPr>
            <w:tcW w:w="2353" w:type="dxa"/>
          </w:tcPr>
          <w:p w14:paraId="62F2F76B"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spellStart"/>
            <w:r w:rsidRPr="00C9603D">
              <w:rPr>
                <w:rFonts w:ascii="Times New Roman" w:hAnsi="Times New Roman" w:cs="Times New Roman"/>
                <w:color w:val="000000"/>
                <w:sz w:val="24"/>
                <w:szCs w:val="24"/>
              </w:rPr>
              <w:t>t</w:t>
            </w:r>
            <w:r w:rsidRPr="00C9603D">
              <w:rPr>
                <w:rFonts w:ascii="Times New Roman" w:hAnsi="Times New Roman" w:cs="Times New Roman"/>
                <w:color w:val="000000"/>
                <w:sz w:val="24"/>
                <w:szCs w:val="24"/>
                <w:vertAlign w:val="subscript"/>
              </w:rPr>
              <w:t>max</w:t>
            </w:r>
            <w:proofErr w:type="spellEnd"/>
            <w:r w:rsidRPr="00C9603D">
              <w:rPr>
                <w:rFonts w:ascii="Times New Roman" w:hAnsi="Times New Roman" w:cs="Times New Roman"/>
                <w:color w:val="202124"/>
                <w:sz w:val="24"/>
                <w:szCs w:val="24"/>
                <w:shd w:val="clear" w:color="auto" w:fill="FFFFFF"/>
                <w:vertAlign w:val="superscript"/>
              </w:rPr>
              <w:t>†</w:t>
            </w:r>
            <w:r w:rsidRPr="00C9603D">
              <w:rPr>
                <w:rFonts w:ascii="Times New Roman" w:hAnsi="Times New Roman" w:cs="Times New Roman"/>
                <w:color w:val="000000"/>
                <w:sz w:val="24"/>
                <w:szCs w:val="24"/>
              </w:rPr>
              <w:t xml:space="preserve"> (h) </w:t>
            </w:r>
          </w:p>
        </w:tc>
        <w:tc>
          <w:tcPr>
            <w:tcW w:w="2340" w:type="dxa"/>
          </w:tcPr>
          <w:p w14:paraId="1E0AB26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1.44 (1.12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3.05)</w:t>
            </w:r>
          </w:p>
        </w:tc>
        <w:tc>
          <w:tcPr>
            <w:tcW w:w="2430" w:type="dxa"/>
          </w:tcPr>
          <w:p w14:paraId="1B6A7D19"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1.4</w:t>
            </w:r>
            <w:r>
              <w:rPr>
                <w:rFonts w:ascii="Times New Roman" w:hAnsi="Times New Roman" w:cs="Times New Roman"/>
                <w:color w:val="000000"/>
                <w:sz w:val="24"/>
                <w:szCs w:val="24"/>
              </w:rPr>
              <w:t>3</w:t>
            </w:r>
            <w:r w:rsidRPr="00C9603D">
              <w:rPr>
                <w:rFonts w:ascii="Times New Roman" w:hAnsi="Times New Roman" w:cs="Times New Roman"/>
                <w:color w:val="000000"/>
                <w:sz w:val="24"/>
                <w:szCs w:val="24"/>
              </w:rPr>
              <w:t xml:space="preserve"> (1.12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3.05)</w:t>
            </w:r>
          </w:p>
        </w:tc>
        <w:tc>
          <w:tcPr>
            <w:tcW w:w="2250" w:type="dxa"/>
          </w:tcPr>
          <w:p w14:paraId="5F4DE898"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3.10 (1.30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3.43)</w:t>
            </w:r>
          </w:p>
        </w:tc>
        <w:tc>
          <w:tcPr>
            <w:tcW w:w="2435" w:type="dxa"/>
          </w:tcPr>
          <w:p w14:paraId="4AE0F81E"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2.66 (1.90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3.32)</w:t>
            </w:r>
          </w:p>
        </w:tc>
      </w:tr>
      <w:tr w:rsidR="00FC00EE" w:rsidRPr="00C9603D" w14:paraId="476A0262" w14:textId="77777777" w:rsidTr="00C54A99">
        <w:trPr>
          <w:trHeight w:val="107"/>
        </w:trPr>
        <w:tc>
          <w:tcPr>
            <w:tcW w:w="2353" w:type="dxa"/>
          </w:tcPr>
          <w:p w14:paraId="6EF5C0AC"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t</w:t>
            </w:r>
            <w:r w:rsidRPr="00C9603D">
              <w:rPr>
                <w:rFonts w:ascii="Times New Roman" w:hAnsi="Times New Roman" w:cs="Times New Roman"/>
                <w:color w:val="000000"/>
                <w:sz w:val="24"/>
                <w:szCs w:val="24"/>
                <w:vertAlign w:val="subscript"/>
              </w:rPr>
              <w:t>1/2</w:t>
            </w:r>
            <w:r w:rsidRPr="00C9603D">
              <w:rPr>
                <w:rFonts w:ascii="Times New Roman" w:hAnsi="Times New Roman" w:cs="Times New Roman"/>
                <w:sz w:val="24"/>
                <w:szCs w:val="24"/>
                <w:shd w:val="clear" w:color="auto" w:fill="FFFFFF"/>
                <w:vertAlign w:val="superscript"/>
              </w:rPr>
              <w:t>‡</w:t>
            </w:r>
            <w:r w:rsidRPr="00C9603D">
              <w:rPr>
                <w:rFonts w:ascii="Times New Roman" w:hAnsi="Times New Roman" w:cs="Times New Roman"/>
                <w:color w:val="000000"/>
                <w:sz w:val="24"/>
                <w:szCs w:val="24"/>
              </w:rPr>
              <w:t xml:space="preserve"> (days) </w:t>
            </w:r>
          </w:p>
        </w:tc>
        <w:tc>
          <w:tcPr>
            <w:tcW w:w="2340" w:type="dxa"/>
          </w:tcPr>
          <w:p w14:paraId="64ED79A6"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5.4 (4.7</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7.1)</w:t>
            </w:r>
          </w:p>
        </w:tc>
        <w:tc>
          <w:tcPr>
            <w:tcW w:w="2430" w:type="dxa"/>
          </w:tcPr>
          <w:p w14:paraId="0560B631"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5.3 (4.7</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7.1)</w:t>
            </w:r>
          </w:p>
        </w:tc>
        <w:tc>
          <w:tcPr>
            <w:tcW w:w="2250" w:type="dxa"/>
          </w:tcPr>
          <w:p w14:paraId="6A3A23F4"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8.1 (5.4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12.9)</w:t>
            </w:r>
          </w:p>
        </w:tc>
        <w:tc>
          <w:tcPr>
            <w:tcW w:w="2435" w:type="dxa"/>
          </w:tcPr>
          <w:p w14:paraId="538243A5"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8.3 (6.2 </w:t>
            </w:r>
            <w:r w:rsidRPr="00C9603D">
              <w:rPr>
                <w:rStyle w:val="Strong"/>
                <w:rFonts w:ascii="Times New Roman" w:hAnsi="Times New Roman" w:cs="Times New Roman"/>
                <w:color w:val="222222"/>
                <w:sz w:val="24"/>
                <w:szCs w:val="24"/>
                <w:shd w:val="clear" w:color="auto" w:fill="FFFFFF"/>
              </w:rPr>
              <w:t>–</w:t>
            </w:r>
            <w:r w:rsidRPr="00C9603D">
              <w:rPr>
                <w:rFonts w:ascii="Times New Roman" w:hAnsi="Times New Roman" w:cs="Times New Roman"/>
                <w:color w:val="000000"/>
                <w:sz w:val="24"/>
                <w:szCs w:val="24"/>
              </w:rPr>
              <w:t xml:space="preserve"> 14.3)</w:t>
            </w:r>
          </w:p>
        </w:tc>
      </w:tr>
      <w:tr w:rsidR="00FC00EE" w:rsidRPr="00C9603D" w14:paraId="0063A62D" w14:textId="77777777" w:rsidTr="00C54A99">
        <w:trPr>
          <w:trHeight w:val="107"/>
        </w:trPr>
        <w:tc>
          <w:tcPr>
            <w:tcW w:w="2353" w:type="dxa"/>
          </w:tcPr>
          <w:p w14:paraId="48EA4397"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 xml:space="preserve">CL (L/h) </w:t>
            </w:r>
          </w:p>
        </w:tc>
        <w:tc>
          <w:tcPr>
            <w:tcW w:w="2340" w:type="dxa"/>
          </w:tcPr>
          <w:p w14:paraId="5E2FD776"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0.0325 (89)</w:t>
            </w:r>
          </w:p>
        </w:tc>
        <w:tc>
          <w:tcPr>
            <w:tcW w:w="2430" w:type="dxa"/>
          </w:tcPr>
          <w:p w14:paraId="6C69C160"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0.0257 (21)</w:t>
            </w:r>
          </w:p>
        </w:tc>
        <w:tc>
          <w:tcPr>
            <w:tcW w:w="2250" w:type="dxa"/>
          </w:tcPr>
          <w:p w14:paraId="302C753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0.0182 (23)</w:t>
            </w:r>
          </w:p>
        </w:tc>
        <w:tc>
          <w:tcPr>
            <w:tcW w:w="2435" w:type="dxa"/>
          </w:tcPr>
          <w:p w14:paraId="349983D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0.0230 (19)</w:t>
            </w:r>
          </w:p>
        </w:tc>
      </w:tr>
      <w:tr w:rsidR="00FC00EE" w:rsidRPr="00C9603D" w14:paraId="392A3C3E" w14:textId="77777777" w:rsidTr="00C54A99">
        <w:trPr>
          <w:trHeight w:val="107"/>
        </w:trPr>
        <w:tc>
          <w:tcPr>
            <w:tcW w:w="2353" w:type="dxa"/>
          </w:tcPr>
          <w:p w14:paraId="09EAC260"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spellStart"/>
            <w:r w:rsidRPr="00C9603D">
              <w:rPr>
                <w:rFonts w:ascii="Times New Roman" w:hAnsi="Times New Roman" w:cs="Times New Roman"/>
                <w:color w:val="000000"/>
                <w:sz w:val="24"/>
                <w:szCs w:val="24"/>
              </w:rPr>
              <w:t>V</w:t>
            </w:r>
            <w:r w:rsidRPr="00C9603D">
              <w:rPr>
                <w:rFonts w:ascii="Times New Roman" w:hAnsi="Times New Roman" w:cs="Times New Roman"/>
                <w:color w:val="000000"/>
                <w:sz w:val="24"/>
                <w:szCs w:val="24"/>
                <w:vertAlign w:val="subscript"/>
              </w:rPr>
              <w:t>z</w:t>
            </w:r>
            <w:proofErr w:type="spellEnd"/>
            <w:r w:rsidRPr="00C9603D">
              <w:rPr>
                <w:rFonts w:ascii="Times New Roman" w:hAnsi="Times New Roman" w:cs="Times New Roman"/>
                <w:color w:val="000000"/>
                <w:sz w:val="24"/>
                <w:szCs w:val="24"/>
              </w:rPr>
              <w:t xml:space="preserve"> (L) </w:t>
            </w:r>
          </w:p>
        </w:tc>
        <w:tc>
          <w:tcPr>
            <w:tcW w:w="2340" w:type="dxa"/>
          </w:tcPr>
          <w:p w14:paraId="0E2F8EE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6.08 (97)</w:t>
            </w:r>
          </w:p>
        </w:tc>
        <w:tc>
          <w:tcPr>
            <w:tcW w:w="2430" w:type="dxa"/>
          </w:tcPr>
          <w:p w14:paraId="518B0F33"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4.74 (22)</w:t>
            </w:r>
          </w:p>
        </w:tc>
        <w:tc>
          <w:tcPr>
            <w:tcW w:w="2250" w:type="dxa"/>
          </w:tcPr>
          <w:p w14:paraId="5ED304C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5.12 (15)</w:t>
            </w:r>
          </w:p>
        </w:tc>
        <w:tc>
          <w:tcPr>
            <w:tcW w:w="2435" w:type="dxa"/>
          </w:tcPr>
          <w:p w14:paraId="606C634C"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6.64 (23)</w:t>
            </w:r>
          </w:p>
        </w:tc>
      </w:tr>
      <w:tr w:rsidR="00FC00EE" w:rsidRPr="00C9603D" w14:paraId="6FBCA789" w14:textId="77777777" w:rsidTr="00C54A99">
        <w:trPr>
          <w:trHeight w:val="109"/>
        </w:trPr>
        <w:tc>
          <w:tcPr>
            <w:tcW w:w="2353" w:type="dxa"/>
          </w:tcPr>
          <w:p w14:paraId="2455E400" w14:textId="77777777" w:rsidR="00FC00EE" w:rsidRPr="00C9603D" w:rsidRDefault="00FC00EE" w:rsidP="00C54A99">
            <w:pPr>
              <w:autoSpaceDE w:val="0"/>
              <w:autoSpaceDN w:val="0"/>
              <w:adjustRightInd w:val="0"/>
              <w:spacing w:after="0" w:line="480" w:lineRule="auto"/>
              <w:rPr>
                <w:rFonts w:ascii="Times New Roman" w:hAnsi="Times New Roman" w:cs="Times New Roman"/>
                <w:color w:val="000000"/>
                <w:sz w:val="24"/>
                <w:szCs w:val="24"/>
              </w:rPr>
            </w:pPr>
            <w:proofErr w:type="spellStart"/>
            <w:proofErr w:type="gramStart"/>
            <w:r w:rsidRPr="00C9603D">
              <w:rPr>
                <w:rFonts w:ascii="Times New Roman" w:hAnsi="Times New Roman" w:cs="Times New Roman"/>
                <w:color w:val="000000"/>
                <w:sz w:val="24"/>
                <w:szCs w:val="24"/>
              </w:rPr>
              <w:t>AUC</w:t>
            </w:r>
            <w:r w:rsidRPr="00C9603D">
              <w:rPr>
                <w:rFonts w:ascii="Times New Roman" w:hAnsi="Times New Roman" w:cs="Times New Roman"/>
                <w:color w:val="000000"/>
                <w:sz w:val="24"/>
                <w:szCs w:val="24"/>
                <w:vertAlign w:val="subscript"/>
              </w:rPr>
              <w:t>Ƭ,day</w:t>
            </w:r>
            <w:proofErr w:type="spellEnd"/>
            <w:proofErr w:type="gramEnd"/>
            <w:r w:rsidRPr="00C9603D">
              <w:rPr>
                <w:rFonts w:ascii="Times New Roman" w:hAnsi="Times New Roman" w:cs="Times New Roman"/>
                <w:color w:val="000000"/>
                <w:sz w:val="24"/>
                <w:szCs w:val="24"/>
                <w:vertAlign w:val="subscript"/>
              </w:rPr>
              <w:t xml:space="preserve"> 1 </w:t>
            </w:r>
            <w:r w:rsidRPr="00C9603D">
              <w:rPr>
                <w:rFonts w:ascii="Times New Roman" w:hAnsi="Times New Roman" w:cs="Times New Roman"/>
                <w:color w:val="000000"/>
                <w:sz w:val="24"/>
                <w:szCs w:val="24"/>
              </w:rPr>
              <w:t>(</w:t>
            </w:r>
            <w:proofErr w:type="spellStart"/>
            <w:r w:rsidRPr="00C9603D">
              <w:rPr>
                <w:rFonts w:ascii="Times New Roman" w:hAnsi="Times New Roman" w:cs="Times New Roman"/>
                <w:color w:val="000000"/>
                <w:sz w:val="24"/>
                <w:szCs w:val="24"/>
              </w:rPr>
              <w:t>ug.h</w:t>
            </w:r>
            <w:proofErr w:type="spellEnd"/>
            <w:r w:rsidRPr="00C9603D">
              <w:rPr>
                <w:rFonts w:ascii="Times New Roman" w:hAnsi="Times New Roman" w:cs="Times New Roman"/>
                <w:color w:val="000000"/>
                <w:sz w:val="24"/>
                <w:szCs w:val="24"/>
              </w:rPr>
              <w:t xml:space="preserve">/mL) </w:t>
            </w:r>
          </w:p>
        </w:tc>
        <w:tc>
          <w:tcPr>
            <w:tcW w:w="2340" w:type="dxa"/>
          </w:tcPr>
          <w:p w14:paraId="0E18A6CD"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18400 (85)</w:t>
            </w:r>
          </w:p>
        </w:tc>
        <w:tc>
          <w:tcPr>
            <w:tcW w:w="2430" w:type="dxa"/>
          </w:tcPr>
          <w:p w14:paraId="62C3AEEF"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23000 (22)</w:t>
            </w:r>
          </w:p>
        </w:tc>
        <w:tc>
          <w:tcPr>
            <w:tcW w:w="2250" w:type="dxa"/>
          </w:tcPr>
          <w:p w14:paraId="081AE3F7"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32900 (35)</w:t>
            </w:r>
          </w:p>
        </w:tc>
        <w:tc>
          <w:tcPr>
            <w:tcW w:w="2435" w:type="dxa"/>
          </w:tcPr>
          <w:p w14:paraId="0AA825BE" w14:textId="77777777" w:rsidR="00FC00EE" w:rsidRPr="00C9603D" w:rsidRDefault="00FC00EE" w:rsidP="00C54A99">
            <w:pPr>
              <w:autoSpaceDE w:val="0"/>
              <w:autoSpaceDN w:val="0"/>
              <w:adjustRightInd w:val="0"/>
              <w:spacing w:after="0" w:line="480" w:lineRule="auto"/>
              <w:jc w:val="center"/>
              <w:rPr>
                <w:rFonts w:ascii="Times New Roman" w:hAnsi="Times New Roman" w:cs="Times New Roman"/>
                <w:color w:val="000000"/>
                <w:sz w:val="24"/>
                <w:szCs w:val="24"/>
              </w:rPr>
            </w:pPr>
            <w:r w:rsidRPr="00C9603D">
              <w:rPr>
                <w:rFonts w:ascii="Times New Roman" w:hAnsi="Times New Roman" w:cs="Times New Roman"/>
                <w:color w:val="000000"/>
                <w:sz w:val="24"/>
                <w:szCs w:val="24"/>
              </w:rPr>
              <w:t>58900 (22)</w:t>
            </w:r>
          </w:p>
        </w:tc>
      </w:tr>
    </w:tbl>
    <w:p w14:paraId="337437D8" w14:textId="77777777" w:rsidR="00FC00EE" w:rsidRPr="00C9603D" w:rsidRDefault="00FC00EE" w:rsidP="00FC00EE">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202124"/>
          <w:sz w:val="24"/>
          <w:szCs w:val="24"/>
          <w:shd w:val="clear" w:color="auto" w:fill="FFFFFF"/>
          <w:vertAlign w:val="superscript"/>
        </w:rPr>
        <w:t>†</w:t>
      </w:r>
      <w:r w:rsidRPr="00C9603D">
        <w:rPr>
          <w:rFonts w:ascii="Times New Roman" w:hAnsi="Times New Roman" w:cs="Times New Roman"/>
          <w:color w:val="000000"/>
          <w:sz w:val="24"/>
          <w:szCs w:val="24"/>
        </w:rPr>
        <w:t xml:space="preserve">Median (range). </w:t>
      </w:r>
    </w:p>
    <w:p w14:paraId="0C8F23BA" w14:textId="77777777" w:rsidR="00FC00EE" w:rsidRPr="00C9603D" w:rsidRDefault="00FC00EE" w:rsidP="00FC00EE">
      <w:pPr>
        <w:rPr>
          <w:rFonts w:ascii="Times New Roman" w:hAnsi="Times New Roman" w:cs="Times New Roman"/>
          <w:sz w:val="24"/>
          <w:szCs w:val="24"/>
        </w:rPr>
      </w:pPr>
      <w:r w:rsidRPr="00C9603D">
        <w:rPr>
          <w:rFonts w:ascii="Times New Roman" w:hAnsi="Times New Roman" w:cs="Times New Roman"/>
          <w:sz w:val="24"/>
          <w:szCs w:val="24"/>
          <w:shd w:val="clear" w:color="auto" w:fill="FFFFFF"/>
          <w:vertAlign w:val="superscript"/>
        </w:rPr>
        <w:t>‡</w:t>
      </w:r>
      <w:r w:rsidRPr="00C9603D">
        <w:rPr>
          <w:rFonts w:ascii="Times New Roman" w:hAnsi="Times New Roman" w:cs="Times New Roman"/>
          <w:color w:val="000000"/>
          <w:sz w:val="24"/>
          <w:szCs w:val="24"/>
        </w:rPr>
        <w:t xml:space="preserve">Geometric mean (range). </w:t>
      </w:r>
    </w:p>
    <w:p w14:paraId="6A5A4A45" w14:textId="77777777" w:rsidR="00FC00EE" w:rsidRPr="00C9603D" w:rsidRDefault="00FC00EE" w:rsidP="00FC00EE">
      <w:pPr>
        <w:autoSpaceDE w:val="0"/>
        <w:autoSpaceDN w:val="0"/>
        <w:adjustRightInd w:val="0"/>
        <w:spacing w:after="0" w:line="480" w:lineRule="auto"/>
        <w:rPr>
          <w:rFonts w:ascii="Times New Roman" w:hAnsi="Times New Roman" w:cs="Times New Roman"/>
          <w:color w:val="000000"/>
          <w:sz w:val="24"/>
          <w:szCs w:val="24"/>
        </w:rPr>
      </w:pPr>
      <w:r w:rsidRPr="00C9603D">
        <w:rPr>
          <w:rFonts w:ascii="Times New Roman" w:hAnsi="Times New Roman" w:cs="Times New Roman"/>
          <w:color w:val="202124"/>
          <w:sz w:val="24"/>
          <w:szCs w:val="24"/>
          <w:shd w:val="clear" w:color="auto" w:fill="FFFFFF"/>
          <w:vertAlign w:val="superscript"/>
        </w:rPr>
        <w:t>§</w:t>
      </w:r>
      <w:r w:rsidRPr="00C9603D">
        <w:rPr>
          <w:rFonts w:ascii="Times New Roman" w:hAnsi="Times New Roman" w:cs="Times New Roman"/>
          <w:color w:val="000000"/>
          <w:sz w:val="24"/>
          <w:szCs w:val="24"/>
        </w:rPr>
        <w:t xml:space="preserve">With Participant 1503 Day 1 profile. </w:t>
      </w:r>
    </w:p>
    <w:p w14:paraId="24E01FA5" w14:textId="77777777" w:rsidR="00FC00EE" w:rsidRPr="00C9603D" w:rsidRDefault="00FC00EE" w:rsidP="00FC00EE">
      <w:pPr>
        <w:spacing w:line="480" w:lineRule="auto"/>
        <w:rPr>
          <w:rFonts w:ascii="Times New Roman" w:hAnsi="Times New Roman" w:cs="Times New Roman"/>
          <w:sz w:val="24"/>
          <w:szCs w:val="24"/>
        </w:rPr>
      </w:pPr>
      <w:r w:rsidRPr="00C9603D">
        <w:rPr>
          <w:rFonts w:ascii="Times New Roman" w:hAnsi="Times New Roman" w:cs="Times New Roman"/>
          <w:color w:val="202124"/>
          <w:sz w:val="24"/>
          <w:szCs w:val="24"/>
          <w:shd w:val="clear" w:color="auto" w:fill="FFFFFF"/>
          <w:vertAlign w:val="superscript"/>
        </w:rPr>
        <w:t>¶</w:t>
      </w:r>
      <w:r w:rsidRPr="00C9603D">
        <w:rPr>
          <w:rFonts w:ascii="Times New Roman" w:hAnsi="Times New Roman" w:cs="Times New Roman"/>
          <w:color w:val="000000"/>
          <w:sz w:val="24"/>
          <w:szCs w:val="24"/>
        </w:rPr>
        <w:t>Without Participant 1503 Day 1 profile.</w:t>
      </w:r>
    </w:p>
    <w:p w14:paraId="452AC9F8" w14:textId="77777777" w:rsidR="00FC00EE" w:rsidRPr="00C9603D" w:rsidRDefault="00FC00EE" w:rsidP="00FC00EE">
      <w:pPr>
        <w:autoSpaceDE w:val="0"/>
        <w:autoSpaceDN w:val="0"/>
        <w:adjustRightInd w:val="0"/>
        <w:spacing w:after="0" w:line="480" w:lineRule="auto"/>
        <w:rPr>
          <w:rFonts w:ascii="Times New Roman" w:hAnsi="Times New Roman" w:cs="Times New Roman"/>
          <w:color w:val="000000"/>
          <w:sz w:val="20"/>
          <w:szCs w:val="20"/>
        </w:rPr>
      </w:pPr>
      <w:r w:rsidRPr="00C9603D">
        <w:rPr>
          <w:rFonts w:ascii="Times New Roman" w:hAnsi="Times New Roman" w:cs="Times New Roman"/>
          <w:color w:val="000000"/>
          <w:sz w:val="24"/>
          <w:szCs w:val="24"/>
        </w:rPr>
        <w:lastRenderedPageBreak/>
        <w:t xml:space="preserve">Abbreviations: AUC = area under the concentration versus time curve; </w:t>
      </w:r>
      <w:proofErr w:type="spellStart"/>
      <w:r w:rsidRPr="00C9603D">
        <w:rPr>
          <w:rFonts w:ascii="Times New Roman" w:hAnsi="Times New Roman" w:cs="Times New Roman"/>
          <w:color w:val="000000"/>
          <w:sz w:val="24"/>
          <w:szCs w:val="24"/>
        </w:rPr>
        <w:t>AUC</w:t>
      </w:r>
      <w:r w:rsidRPr="00C9603D">
        <w:rPr>
          <w:rFonts w:ascii="Times New Roman" w:hAnsi="Times New Roman" w:cs="Times New Roman"/>
          <w:color w:val="000000"/>
          <w:sz w:val="24"/>
          <w:szCs w:val="24"/>
          <w:vertAlign w:val="subscript"/>
        </w:rPr>
        <w:t>Ƭ,day</w:t>
      </w:r>
      <w:proofErr w:type="spellEnd"/>
      <w:r w:rsidRPr="00C9603D">
        <w:rPr>
          <w:rFonts w:ascii="Times New Roman" w:hAnsi="Times New Roman" w:cs="Times New Roman"/>
          <w:color w:val="000000"/>
          <w:sz w:val="24"/>
          <w:szCs w:val="24"/>
          <w:vertAlign w:val="subscript"/>
        </w:rPr>
        <w:t xml:space="preserve"> 1 </w:t>
      </w:r>
      <w:r w:rsidRPr="00C9603D">
        <w:rPr>
          <w:rFonts w:ascii="Times New Roman" w:hAnsi="Times New Roman" w:cs="Times New Roman"/>
          <w:color w:val="000000"/>
          <w:sz w:val="24"/>
          <w:szCs w:val="24"/>
        </w:rPr>
        <w:t>= area under the concentration versus time curve during one dosing interval at day 1, CL = total body clearance of drug calculated after intravenous administration; C</w:t>
      </w:r>
      <w:r w:rsidRPr="00C9603D">
        <w:rPr>
          <w:rFonts w:ascii="Times New Roman" w:hAnsi="Times New Roman" w:cs="Times New Roman"/>
          <w:color w:val="000000"/>
          <w:sz w:val="24"/>
          <w:szCs w:val="24"/>
          <w:vertAlign w:val="subscript"/>
        </w:rPr>
        <w:t>max</w:t>
      </w:r>
      <w:r w:rsidRPr="00C9603D">
        <w:rPr>
          <w:rFonts w:ascii="Times New Roman" w:hAnsi="Times New Roman" w:cs="Times New Roman"/>
          <w:color w:val="000000"/>
          <w:sz w:val="24"/>
          <w:szCs w:val="24"/>
        </w:rPr>
        <w:t xml:space="preserve"> = maximum observed drug concentration; CV = coefficient of variation; MAD = multiple ascending dose; N = number of participants; PK = pharmacokinetic; Q2W = every 2 weeks; Q4W = every 4 weeks; t</w:t>
      </w:r>
      <w:r w:rsidRPr="00C9603D">
        <w:rPr>
          <w:rFonts w:ascii="Times New Roman" w:hAnsi="Times New Roman" w:cs="Times New Roman"/>
          <w:color w:val="000000"/>
          <w:sz w:val="24"/>
          <w:szCs w:val="24"/>
          <w:vertAlign w:val="subscript"/>
        </w:rPr>
        <w:t xml:space="preserve">1/2 </w:t>
      </w:r>
      <w:r w:rsidRPr="00C9603D">
        <w:rPr>
          <w:rFonts w:ascii="Times New Roman" w:hAnsi="Times New Roman" w:cs="Times New Roman"/>
          <w:color w:val="000000"/>
          <w:sz w:val="24"/>
          <w:szCs w:val="24"/>
        </w:rPr>
        <w:t xml:space="preserve">= half-life associated with the terminal rate constant in noncompartmental analysis; </w:t>
      </w:r>
      <w:proofErr w:type="spellStart"/>
      <w:r w:rsidRPr="00C9603D">
        <w:rPr>
          <w:rFonts w:ascii="Times New Roman" w:hAnsi="Times New Roman" w:cs="Times New Roman"/>
          <w:color w:val="000000"/>
          <w:sz w:val="24"/>
          <w:szCs w:val="24"/>
        </w:rPr>
        <w:t>tmax</w:t>
      </w:r>
      <w:proofErr w:type="spellEnd"/>
      <w:r w:rsidRPr="00C9603D">
        <w:rPr>
          <w:rFonts w:ascii="Times New Roman" w:hAnsi="Times New Roman" w:cs="Times New Roman"/>
          <w:color w:val="000000"/>
          <w:sz w:val="24"/>
          <w:szCs w:val="24"/>
        </w:rPr>
        <w:t xml:space="preserve"> = time of C</w:t>
      </w:r>
      <w:r w:rsidRPr="00C9603D">
        <w:rPr>
          <w:rFonts w:ascii="Times New Roman" w:hAnsi="Times New Roman" w:cs="Times New Roman"/>
          <w:color w:val="000000"/>
          <w:sz w:val="24"/>
          <w:szCs w:val="24"/>
          <w:vertAlign w:val="subscript"/>
        </w:rPr>
        <w:t>max</w:t>
      </w:r>
      <w:r w:rsidRPr="00C9603D">
        <w:rPr>
          <w:rFonts w:ascii="Times New Roman" w:hAnsi="Times New Roman" w:cs="Times New Roman"/>
          <w:color w:val="000000"/>
          <w:sz w:val="24"/>
          <w:szCs w:val="24"/>
        </w:rPr>
        <w:t xml:space="preserve">; </w:t>
      </w:r>
      <w:proofErr w:type="spellStart"/>
      <w:r w:rsidRPr="00C9603D">
        <w:rPr>
          <w:rFonts w:ascii="Times New Roman" w:hAnsi="Times New Roman" w:cs="Times New Roman"/>
          <w:color w:val="000000"/>
          <w:sz w:val="24"/>
          <w:szCs w:val="24"/>
        </w:rPr>
        <w:t>V</w:t>
      </w:r>
      <w:r w:rsidRPr="00C9603D">
        <w:rPr>
          <w:rFonts w:ascii="Times New Roman" w:hAnsi="Times New Roman" w:cs="Times New Roman"/>
          <w:color w:val="000000"/>
          <w:sz w:val="24"/>
          <w:szCs w:val="24"/>
          <w:vertAlign w:val="subscript"/>
        </w:rPr>
        <w:t>z</w:t>
      </w:r>
      <w:proofErr w:type="spellEnd"/>
      <w:r w:rsidRPr="00C9603D">
        <w:rPr>
          <w:rFonts w:ascii="Times New Roman" w:hAnsi="Times New Roman" w:cs="Times New Roman"/>
          <w:color w:val="000000"/>
          <w:sz w:val="24"/>
          <w:szCs w:val="24"/>
        </w:rPr>
        <w:t xml:space="preserve"> = volume of distribution during the terminal phase.</w:t>
      </w:r>
      <w:r w:rsidRPr="00C9603D">
        <w:rPr>
          <w:rFonts w:ascii="Times New Roman" w:hAnsi="Times New Roman" w:cs="Times New Roman"/>
          <w:color w:val="000000"/>
          <w:sz w:val="20"/>
          <w:szCs w:val="20"/>
        </w:rPr>
        <w:t xml:space="preserve"> </w:t>
      </w:r>
    </w:p>
    <w:p w14:paraId="1592FE72" w14:textId="77777777" w:rsidR="00FC00EE" w:rsidRPr="00C9603D" w:rsidRDefault="00FC00EE" w:rsidP="00FC00EE">
      <w:pPr>
        <w:spacing w:line="480" w:lineRule="auto"/>
        <w:rPr>
          <w:rFonts w:ascii="Times New Roman" w:hAnsi="Times New Roman" w:cs="Times New Roman"/>
          <w:b/>
          <w:sz w:val="24"/>
          <w:szCs w:val="24"/>
        </w:rPr>
      </w:pPr>
      <w:r w:rsidRPr="00C9603D">
        <w:rPr>
          <w:rFonts w:ascii="Times New Roman" w:hAnsi="Times New Roman" w:cs="Times New Roman"/>
          <w:color w:val="000000"/>
          <w:sz w:val="24"/>
          <w:szCs w:val="24"/>
        </w:rPr>
        <w:t xml:space="preserve"> </w:t>
      </w:r>
    </w:p>
    <w:p w14:paraId="43381C9A" w14:textId="77777777" w:rsidR="00FC00EE" w:rsidRDefault="00FC00EE" w:rsidP="00FC00EE">
      <w:pPr>
        <w:rPr>
          <w:rFonts w:ascii="Times New Roman" w:hAnsi="Times New Roman" w:cs="Times New Roman"/>
          <w:b/>
          <w:sz w:val="24"/>
          <w:szCs w:val="24"/>
        </w:rPr>
      </w:pPr>
    </w:p>
    <w:p w14:paraId="5AAE1AD5" w14:textId="77777777" w:rsidR="00FC00EE" w:rsidRPr="00C9603D" w:rsidRDefault="00FC00EE" w:rsidP="00FC00EE">
      <w:pPr>
        <w:rPr>
          <w:b/>
          <w:sz w:val="24"/>
          <w:szCs w:val="24"/>
        </w:rPr>
      </w:pPr>
      <w:r w:rsidRPr="005559E5">
        <w:rPr>
          <w:noProof/>
        </w:rPr>
        <w:lastRenderedPageBreak/>
        <w:drawing>
          <wp:inline distT="0" distB="0" distL="0" distR="0" wp14:anchorId="29CCEA8B" wp14:editId="354E91D7">
            <wp:extent cx="4069080" cy="5260578"/>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9080" cy="5260578"/>
                    </a:xfrm>
                    <a:prstGeom prst="rect">
                      <a:avLst/>
                    </a:prstGeom>
                  </pic:spPr>
                </pic:pic>
              </a:graphicData>
            </a:graphic>
          </wp:inline>
        </w:drawing>
      </w:r>
      <w:r w:rsidRPr="00400DB3">
        <w:rPr>
          <w:noProof/>
        </w:rPr>
        <w:t xml:space="preserve"> </w:t>
      </w:r>
      <w:r w:rsidRPr="00400DB3">
        <w:rPr>
          <w:b/>
          <w:noProof/>
          <w:sz w:val="24"/>
          <w:szCs w:val="24"/>
        </w:rPr>
        <w:drawing>
          <wp:inline distT="0" distB="0" distL="0" distR="0" wp14:anchorId="223DB98D" wp14:editId="350424E6">
            <wp:extent cx="4069080" cy="5230238"/>
            <wp:effectExtent l="0" t="0" r="762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9080" cy="5230238"/>
                    </a:xfrm>
                    <a:prstGeom prst="rect">
                      <a:avLst/>
                    </a:prstGeom>
                  </pic:spPr>
                </pic:pic>
              </a:graphicData>
            </a:graphic>
          </wp:inline>
        </w:drawing>
      </w:r>
    </w:p>
    <w:p w14:paraId="644843E1" w14:textId="77777777" w:rsidR="00FC00EE" w:rsidRPr="00C9603D" w:rsidRDefault="00FC00EE" w:rsidP="00FC00EE">
      <w:pPr>
        <w:pStyle w:val="FigTitle"/>
        <w:spacing w:line="480" w:lineRule="auto"/>
        <w:ind w:left="0" w:firstLine="0"/>
        <w:rPr>
          <w:rFonts w:ascii="Times New Roman" w:hAnsi="Times New Roman"/>
          <w:b w:val="0"/>
          <w:bCs/>
        </w:rPr>
      </w:pPr>
      <w:r w:rsidRPr="00C9603D">
        <w:rPr>
          <w:rFonts w:ascii="Times New Roman" w:hAnsi="Times New Roman"/>
        </w:rPr>
        <w:lastRenderedPageBreak/>
        <w:t xml:space="preserve">Supplemental Figure 4. </w:t>
      </w:r>
      <w:r>
        <w:rPr>
          <w:rFonts w:ascii="Times New Roman" w:hAnsi="Times New Roman"/>
          <w:b w:val="0"/>
          <w:bCs/>
          <w:lang w:eastAsia="ja-JP"/>
        </w:rPr>
        <w:t>Donanemab</w:t>
      </w:r>
      <w:r w:rsidRPr="00C9603D">
        <w:rPr>
          <w:rFonts w:ascii="Times New Roman" w:hAnsi="Times New Roman"/>
          <w:b w:val="0"/>
          <w:bCs/>
          <w:lang w:eastAsia="ja-JP"/>
        </w:rPr>
        <w:t xml:space="preserve"> serum concentrations,</w:t>
      </w:r>
      <w:r w:rsidRPr="00C9603D">
        <w:rPr>
          <w:rFonts w:ascii="Times New Roman" w:hAnsi="Times New Roman"/>
          <w:b w:val="0"/>
          <w:bCs/>
        </w:rPr>
        <w:t xml:space="preserve"> </w:t>
      </w:r>
      <w:r>
        <w:rPr>
          <w:rFonts w:ascii="Times New Roman" w:hAnsi="Times New Roman"/>
          <w:b w:val="0"/>
          <w:bCs/>
          <w:lang w:eastAsia="ja-JP"/>
        </w:rPr>
        <w:t>donanemab</w:t>
      </w:r>
      <w:r w:rsidRPr="00C9603D">
        <w:rPr>
          <w:rFonts w:ascii="Times New Roman" w:hAnsi="Times New Roman"/>
          <w:b w:val="0"/>
          <w:bCs/>
          <w:lang w:eastAsia="ja-JP"/>
        </w:rPr>
        <w:t xml:space="preserve"> trough serum concentrations, CFB amyloid PET in centroid, and ADA Titer over time in weeks for A) an individual selected participant with high titer and lower trough serum concentration and B) an individual selected participant with low titer and lower trough serum concentration</w:t>
      </w:r>
      <w:r w:rsidRPr="00C9603D">
        <w:rPr>
          <w:rFonts w:ascii="Times New Roman" w:hAnsi="Times New Roman"/>
          <w:b w:val="0"/>
          <w:bCs/>
        </w:rPr>
        <w:t>. Doses are indicated by open triangles.</w:t>
      </w:r>
    </w:p>
    <w:p w14:paraId="4360FB29" w14:textId="77777777" w:rsidR="00FC00EE" w:rsidRPr="00C9603D" w:rsidRDefault="00FC00EE" w:rsidP="00FC00EE">
      <w:pPr>
        <w:pStyle w:val="FigFootnote"/>
        <w:spacing w:before="240" w:line="480" w:lineRule="auto"/>
        <w:ind w:left="0"/>
        <w:rPr>
          <w:sz w:val="24"/>
          <w:szCs w:val="24"/>
        </w:rPr>
      </w:pPr>
      <w:r w:rsidRPr="00C9603D">
        <w:rPr>
          <w:sz w:val="24"/>
          <w:szCs w:val="24"/>
        </w:rPr>
        <w:t>Note: BQL samples assigned 0.1 µg/mL values.</w:t>
      </w:r>
    </w:p>
    <w:p w14:paraId="7A90275D" w14:textId="77777777" w:rsidR="00FC00EE" w:rsidRPr="00C9603D" w:rsidRDefault="00FC00EE" w:rsidP="00FC00EE">
      <w:pPr>
        <w:pStyle w:val="FigFootnote"/>
        <w:spacing w:line="480" w:lineRule="auto"/>
        <w:ind w:left="0"/>
        <w:rPr>
          <w:sz w:val="24"/>
          <w:szCs w:val="24"/>
        </w:rPr>
      </w:pPr>
      <w:r w:rsidRPr="00C9603D">
        <w:rPr>
          <w:sz w:val="24"/>
          <w:szCs w:val="24"/>
        </w:rPr>
        <w:t xml:space="preserve">Abbreviations: ADA = antidrug antibody; BQL = below the limit of quantification; CFB = change from baseline; </w:t>
      </w:r>
      <w:r>
        <w:rPr>
          <w:sz w:val="24"/>
          <w:szCs w:val="24"/>
        </w:rPr>
        <w:t xml:space="preserve">Conc = concentration; </w:t>
      </w:r>
      <w:r w:rsidRPr="00C9603D">
        <w:rPr>
          <w:sz w:val="24"/>
          <w:szCs w:val="24"/>
        </w:rPr>
        <w:t xml:space="preserve">PET = positron emission tomography; Q4W = every 4 weeks. </w:t>
      </w:r>
    </w:p>
    <w:p w14:paraId="074301F7" w14:textId="77777777" w:rsidR="00FC00EE" w:rsidRDefault="00FC00EE" w:rsidP="00FC00EE">
      <w:pPr>
        <w:rPr>
          <w:rFonts w:ascii="Times New Roman" w:hAnsi="Times New Roman" w:cs="Times New Roman"/>
        </w:rPr>
      </w:pPr>
    </w:p>
    <w:p w14:paraId="30AF18DA" w14:textId="77777777" w:rsidR="00FC00EE" w:rsidRDefault="00FC00EE" w:rsidP="00FC00EE">
      <w:pPr>
        <w:rPr>
          <w:rFonts w:ascii="Times New Roman" w:hAnsi="Times New Roman" w:cs="Times New Roman"/>
        </w:rPr>
        <w:sectPr w:rsidR="00FC00EE" w:rsidSect="004639C4">
          <w:headerReference w:type="default" r:id="rId11"/>
          <w:footerReference w:type="even" r:id="rId12"/>
          <w:footerReference w:type="default" r:id="rId13"/>
          <w:pgSz w:w="15840" w:h="12240" w:orient="landscape"/>
          <w:pgMar w:top="1440" w:right="1440" w:bottom="1440" w:left="1440" w:header="720" w:footer="720" w:gutter="0"/>
          <w:cols w:space="720"/>
          <w:docGrid w:linePitch="360"/>
        </w:sectPr>
      </w:pPr>
    </w:p>
    <w:p w14:paraId="48593EE8" w14:textId="77777777" w:rsidR="00FC00EE" w:rsidRDefault="00FC00EE" w:rsidP="00FC00EE">
      <w:pPr>
        <w:spacing w:after="0" w:line="480" w:lineRule="auto"/>
        <w:rPr>
          <w:rFonts w:ascii="Times New Roman" w:hAnsi="Times New Roman" w:cs="Times New Roman"/>
          <w:sz w:val="20"/>
          <w:szCs w:val="20"/>
        </w:rPr>
      </w:pPr>
    </w:p>
    <w:p w14:paraId="22CF30B6" w14:textId="77777777" w:rsidR="00FC00EE" w:rsidRPr="00C9603D" w:rsidRDefault="00FC00EE" w:rsidP="00FC00EE">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B085AC0" wp14:editId="0A8E77BB">
            <wp:extent cx="9153347" cy="508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66471" cy="5093643"/>
                    </a:xfrm>
                    <a:prstGeom prst="rect">
                      <a:avLst/>
                    </a:prstGeom>
                    <a:noFill/>
                  </pic:spPr>
                </pic:pic>
              </a:graphicData>
            </a:graphic>
          </wp:inline>
        </w:drawing>
      </w:r>
    </w:p>
    <w:p w14:paraId="018C7536" w14:textId="77777777" w:rsidR="00FC00EE" w:rsidRPr="00C9603D" w:rsidRDefault="00FC00EE" w:rsidP="00FC00EE">
      <w:pPr>
        <w:rPr>
          <w:rFonts w:ascii="Times New Roman" w:hAnsi="Times New Roman" w:cs="Times New Roman"/>
          <w:b/>
          <w:sz w:val="24"/>
          <w:szCs w:val="24"/>
        </w:rPr>
      </w:pPr>
    </w:p>
    <w:p w14:paraId="047949D9" w14:textId="77777777" w:rsidR="00FC00EE" w:rsidRPr="00C9603D" w:rsidRDefault="00FC00EE" w:rsidP="00FC00EE">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693FDB4" wp14:editId="4678A1C8">
            <wp:extent cx="9149281" cy="5105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55741" cy="5109005"/>
                    </a:xfrm>
                    <a:prstGeom prst="rect">
                      <a:avLst/>
                    </a:prstGeom>
                    <a:noFill/>
                  </pic:spPr>
                </pic:pic>
              </a:graphicData>
            </a:graphic>
          </wp:inline>
        </w:drawing>
      </w:r>
    </w:p>
    <w:p w14:paraId="3C12CA46" w14:textId="77777777" w:rsidR="00FC00EE" w:rsidRPr="00C9603D" w:rsidRDefault="00FC00EE" w:rsidP="00FC00EE">
      <w:pPr>
        <w:rPr>
          <w:rFonts w:ascii="Times New Roman" w:hAnsi="Times New Roman" w:cs="Times New Roman"/>
          <w:b/>
          <w:bCs/>
          <w:sz w:val="16"/>
          <w:szCs w:val="16"/>
        </w:rPr>
      </w:pPr>
    </w:p>
    <w:p w14:paraId="37E6A67F" w14:textId="77777777" w:rsidR="00FC00EE" w:rsidRPr="00C9603D" w:rsidRDefault="00FC00EE" w:rsidP="00FC00EE">
      <w:pPr>
        <w:rPr>
          <w:rFonts w:ascii="Times New Roman" w:hAnsi="Times New Roman" w:cs="Times New Roman"/>
          <w:b/>
          <w:bCs/>
          <w:sz w:val="16"/>
          <w:szCs w:val="16"/>
        </w:rPr>
      </w:pPr>
    </w:p>
    <w:p w14:paraId="268E202B" w14:textId="77777777" w:rsidR="00FC00EE" w:rsidRPr="00C9603D" w:rsidRDefault="00FC00EE" w:rsidP="00FC00EE">
      <w:pPr>
        <w:rPr>
          <w:rFonts w:ascii="Times New Roman" w:hAnsi="Times New Roman" w:cs="Times New Roman"/>
          <w:b/>
          <w:bCs/>
          <w:sz w:val="16"/>
          <w:szCs w:val="16"/>
        </w:rPr>
      </w:pPr>
    </w:p>
    <w:p w14:paraId="3574D6C8" w14:textId="77777777" w:rsidR="00FC00EE" w:rsidRPr="00C9603D" w:rsidRDefault="00FC00EE" w:rsidP="00FC00EE">
      <w:pPr>
        <w:rPr>
          <w:rFonts w:ascii="Times New Roman" w:hAnsi="Times New Roman" w:cs="Times New Roman"/>
          <w:b/>
          <w:bCs/>
          <w:sz w:val="16"/>
          <w:szCs w:val="16"/>
        </w:rPr>
      </w:pPr>
      <w:r>
        <w:rPr>
          <w:rFonts w:ascii="Times New Roman" w:hAnsi="Times New Roman" w:cs="Times New Roman"/>
          <w:b/>
          <w:bCs/>
          <w:noProof/>
          <w:sz w:val="16"/>
          <w:szCs w:val="16"/>
        </w:rPr>
        <w:drawing>
          <wp:inline distT="0" distB="0" distL="0" distR="0" wp14:anchorId="1CE342C3" wp14:editId="5584E2CB">
            <wp:extent cx="9136954" cy="519112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6958" cy="5196809"/>
                    </a:xfrm>
                    <a:prstGeom prst="rect">
                      <a:avLst/>
                    </a:prstGeom>
                    <a:noFill/>
                  </pic:spPr>
                </pic:pic>
              </a:graphicData>
            </a:graphic>
          </wp:inline>
        </w:drawing>
      </w:r>
    </w:p>
    <w:p w14:paraId="5E60833B" w14:textId="77777777" w:rsidR="00FC00EE" w:rsidRPr="00C9603D" w:rsidRDefault="00FC00EE" w:rsidP="00FC00EE">
      <w:pPr>
        <w:rPr>
          <w:rFonts w:ascii="Times New Roman" w:hAnsi="Times New Roman" w:cs="Times New Roman"/>
          <w:b/>
          <w:bCs/>
          <w:sz w:val="16"/>
          <w:szCs w:val="16"/>
        </w:rPr>
      </w:pPr>
    </w:p>
    <w:p w14:paraId="379760B3" w14:textId="77777777" w:rsidR="00FC00EE" w:rsidRPr="00C9603D" w:rsidRDefault="00FC00EE" w:rsidP="00FC00EE">
      <w:pPr>
        <w:spacing w:line="480" w:lineRule="auto"/>
        <w:rPr>
          <w:rFonts w:ascii="Times New Roman" w:hAnsi="Times New Roman" w:cs="Times New Roman"/>
          <w:sz w:val="24"/>
          <w:szCs w:val="24"/>
        </w:rPr>
      </w:pPr>
      <w:r w:rsidRPr="2D22B7C1">
        <w:rPr>
          <w:rFonts w:ascii="Times New Roman" w:hAnsi="Times New Roman" w:cs="Times New Roman"/>
          <w:b/>
          <w:bCs/>
          <w:sz w:val="24"/>
          <w:szCs w:val="24"/>
        </w:rPr>
        <w:lastRenderedPageBreak/>
        <w:t xml:space="preserve">Supplemental Figure 5. </w:t>
      </w:r>
      <w:r w:rsidRPr="2D22B7C1">
        <w:rPr>
          <w:rFonts w:ascii="Times New Roman" w:hAnsi="Times New Roman" w:cs="Times New Roman"/>
          <w:sz w:val="24"/>
          <w:szCs w:val="24"/>
        </w:rPr>
        <w:t>Least squares mean atrophy on A) whole brain volume, B) average hippocampal volume, and C) lateral ventricle volume (mm</w:t>
      </w:r>
      <w:r w:rsidRPr="2D22B7C1">
        <w:rPr>
          <w:rFonts w:ascii="Times New Roman" w:hAnsi="Times New Roman" w:cs="Times New Roman"/>
          <w:sz w:val="24"/>
          <w:szCs w:val="24"/>
          <w:vertAlign w:val="superscript"/>
        </w:rPr>
        <w:t>3</w:t>
      </w:r>
      <w:r w:rsidRPr="2D22B7C1">
        <w:rPr>
          <w:rFonts w:ascii="Times New Roman" w:hAnsi="Times New Roman" w:cs="Times New Roman"/>
          <w:sz w:val="24"/>
          <w:szCs w:val="24"/>
        </w:rPr>
        <w:t xml:space="preserve">) per visit per study intervention group. </w:t>
      </w:r>
    </w:p>
    <w:p w14:paraId="45658CF1" w14:textId="77777777" w:rsidR="00FC00EE" w:rsidRDefault="00FC00EE" w:rsidP="00FC00EE">
      <w:pPr>
        <w:spacing w:line="480" w:lineRule="auto"/>
        <w:rPr>
          <w:rFonts w:ascii="Times New Roman" w:hAnsi="Times New Roman" w:cs="Times New Roman"/>
          <w:color w:val="000000"/>
          <w:sz w:val="24"/>
          <w:szCs w:val="24"/>
        </w:rPr>
      </w:pPr>
      <w:r w:rsidRPr="00C9603D">
        <w:rPr>
          <w:rFonts w:ascii="Times New Roman" w:hAnsi="Times New Roman" w:cs="Times New Roman"/>
          <w:color w:val="000000"/>
          <w:sz w:val="24"/>
          <w:szCs w:val="24"/>
        </w:rPr>
        <w:t>Abbreviations: Q2W = every 2 weeks; Q4W = every 4 weeks.</w:t>
      </w:r>
    </w:p>
    <w:p w14:paraId="4E2C2718" w14:textId="77777777" w:rsidR="00FC00EE" w:rsidRDefault="00FC00EE"/>
    <w:sectPr w:rsidR="00FC00EE" w:rsidSect="00FC00E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0067" w14:textId="77777777" w:rsidR="00773DC0" w:rsidRDefault="00BB1584">
      <w:pPr>
        <w:spacing w:after="0" w:line="240" w:lineRule="auto"/>
      </w:pPr>
      <w:r>
        <w:separator/>
      </w:r>
    </w:p>
  </w:endnote>
  <w:endnote w:type="continuationSeparator" w:id="0">
    <w:p w14:paraId="0C343767" w14:textId="77777777" w:rsidR="00773DC0" w:rsidRDefault="00BB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424047"/>
      <w:docPartObj>
        <w:docPartGallery w:val="Page Numbers (Bottom of Page)"/>
        <w:docPartUnique/>
      </w:docPartObj>
    </w:sdtPr>
    <w:sdtEndPr>
      <w:rPr>
        <w:rStyle w:val="PageNumber"/>
      </w:rPr>
    </w:sdtEndPr>
    <w:sdtContent>
      <w:p w14:paraId="73D06163" w14:textId="77777777" w:rsidR="008F4921" w:rsidRDefault="00FC00EE" w:rsidP="005146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50EE6" w14:textId="77777777" w:rsidR="008F4921" w:rsidRDefault="00B34E21" w:rsidP="002B4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905593"/>
      <w:docPartObj>
        <w:docPartGallery w:val="Page Numbers (Bottom of Page)"/>
        <w:docPartUnique/>
      </w:docPartObj>
    </w:sdtPr>
    <w:sdtEndPr>
      <w:rPr>
        <w:rStyle w:val="PageNumber"/>
      </w:rPr>
    </w:sdtEndPr>
    <w:sdtContent>
      <w:p w14:paraId="4114849C" w14:textId="77777777" w:rsidR="008F4921" w:rsidRDefault="00FC00EE" w:rsidP="005146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302BAA" w14:textId="77777777" w:rsidR="008F4921" w:rsidRDefault="00B34E21" w:rsidP="002B49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1A93" w14:textId="77777777" w:rsidR="00773DC0" w:rsidRDefault="00BB1584">
      <w:pPr>
        <w:spacing w:after="0" w:line="240" w:lineRule="auto"/>
      </w:pPr>
      <w:r>
        <w:separator/>
      </w:r>
    </w:p>
  </w:footnote>
  <w:footnote w:type="continuationSeparator" w:id="0">
    <w:p w14:paraId="49E48D4E" w14:textId="77777777" w:rsidR="00773DC0" w:rsidRDefault="00BB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692D" w14:textId="77777777" w:rsidR="008F4921" w:rsidRPr="006031BF" w:rsidRDefault="00FC00EE" w:rsidP="006031BF">
    <w:pPr>
      <w:pStyle w:val="Header"/>
      <w:rPr>
        <w:rFonts w:ascii="Times New Roman" w:hAnsi="Times New Roman" w:cs="Times New Roman"/>
        <w:sz w:val="20"/>
        <w:szCs w:val="20"/>
      </w:rPr>
    </w:pPr>
    <w:r w:rsidRPr="006031BF">
      <w:rPr>
        <w:rFonts w:ascii="Times New Roman" w:hAnsi="Times New Roman" w:cs="Times New Roman"/>
        <w:sz w:val="20"/>
        <w:szCs w:val="20"/>
      </w:rPr>
      <w:t>Target Journal: J</w:t>
    </w:r>
    <w:r>
      <w:rPr>
        <w:rFonts w:ascii="Times New Roman" w:hAnsi="Times New Roman" w:cs="Times New Roman"/>
        <w:sz w:val="20"/>
        <w:szCs w:val="20"/>
      </w:rPr>
      <w:t>PA</w:t>
    </w:r>
    <w:r w:rsidRPr="006031BF">
      <w:rPr>
        <w:rFonts w:ascii="Times New Roman" w:hAnsi="Times New Roman" w:cs="Times New Roman"/>
        <w:sz w:val="20"/>
        <w:szCs w:val="20"/>
      </w:rPr>
      <w:t>D</w:t>
    </w:r>
  </w:p>
  <w:p w14:paraId="45B8BE9C" w14:textId="77777777" w:rsidR="008F4921" w:rsidRPr="006031BF" w:rsidRDefault="00FC00EE" w:rsidP="006031BF">
    <w:pPr>
      <w:pStyle w:val="Header"/>
      <w:rPr>
        <w:rFonts w:ascii="Times New Roman" w:hAnsi="Times New Roman" w:cs="Times New Roman"/>
        <w:sz w:val="20"/>
        <w:szCs w:val="20"/>
      </w:rPr>
    </w:pPr>
    <w:r>
      <w:rPr>
        <w:rFonts w:ascii="Times New Roman" w:hAnsi="Times New Roman" w:cs="Times New Roman"/>
        <w:sz w:val="20"/>
        <w:szCs w:val="20"/>
      </w:rPr>
      <w:t>D</w:t>
    </w:r>
    <w:r w:rsidRPr="006031BF">
      <w:rPr>
        <w:rFonts w:ascii="Times New Roman" w:hAnsi="Times New Roman" w:cs="Times New Roman"/>
        <w:sz w:val="20"/>
        <w:szCs w:val="20"/>
      </w:rPr>
      <w:t>raft</w:t>
    </w:r>
    <w:r>
      <w:rPr>
        <w:rFonts w:ascii="Times New Roman" w:hAnsi="Times New Roman" w:cs="Times New Roman"/>
        <w:sz w:val="20"/>
        <w:szCs w:val="20"/>
      </w:rPr>
      <w:t xml:space="preserve"> 1</w:t>
    </w:r>
  </w:p>
  <w:p w14:paraId="5B7549A7" w14:textId="77777777" w:rsidR="008F4921" w:rsidRDefault="00B34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EE"/>
    <w:rsid w:val="0040066E"/>
    <w:rsid w:val="00773DC0"/>
    <w:rsid w:val="00A06B76"/>
    <w:rsid w:val="00B34E21"/>
    <w:rsid w:val="00BB1584"/>
    <w:rsid w:val="00FC0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C92A"/>
  <w15:chartTrackingRefBased/>
  <w15:docId w15:val="{1876A939-38E9-8B41-B4CD-CFA88B43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EE"/>
    <w:pPr>
      <w:spacing w:after="200" w:line="276" w:lineRule="auto"/>
    </w:pPr>
    <w:rPr>
      <w:rFonts w:eastAsia="MS Minch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Title">
    <w:name w:val="Fig Title"/>
    <w:basedOn w:val="Normal"/>
    <w:next w:val="Normal"/>
    <w:uiPriority w:val="99"/>
    <w:rsid w:val="00FC00EE"/>
    <w:pPr>
      <w:keepLines/>
      <w:spacing w:before="240" w:after="216" w:line="259" w:lineRule="atLeast"/>
      <w:ind w:left="2304" w:hanging="2304"/>
    </w:pPr>
    <w:rPr>
      <w:rFonts w:ascii="Arial" w:eastAsiaTheme="minorEastAsia" w:hAnsi="Arial" w:cs="Times New Roman"/>
      <w:b/>
      <w:szCs w:val="20"/>
    </w:rPr>
  </w:style>
  <w:style w:type="paragraph" w:customStyle="1" w:styleId="FigFootnote">
    <w:name w:val="Fig Footnote"/>
    <w:basedOn w:val="Normal"/>
    <w:next w:val="Normal"/>
    <w:uiPriority w:val="99"/>
    <w:rsid w:val="00FC00EE"/>
    <w:pPr>
      <w:keepNext/>
      <w:keepLines/>
      <w:spacing w:after="0" w:line="259" w:lineRule="atLeast"/>
      <w:ind w:left="2304"/>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FC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EE"/>
    <w:rPr>
      <w:rFonts w:eastAsia="MS Mincho"/>
      <w:sz w:val="22"/>
      <w:szCs w:val="22"/>
      <w:lang w:val="en-US"/>
    </w:rPr>
  </w:style>
  <w:style w:type="paragraph" w:styleId="Footer">
    <w:name w:val="footer"/>
    <w:basedOn w:val="Normal"/>
    <w:link w:val="FooterChar"/>
    <w:uiPriority w:val="99"/>
    <w:unhideWhenUsed/>
    <w:rsid w:val="00FC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EE"/>
    <w:rPr>
      <w:rFonts w:eastAsia="MS Mincho"/>
      <w:sz w:val="22"/>
      <w:szCs w:val="22"/>
      <w:lang w:val="en-US"/>
    </w:rPr>
  </w:style>
  <w:style w:type="character" w:styleId="PageNumber">
    <w:name w:val="page number"/>
    <w:basedOn w:val="DefaultParagraphFont"/>
    <w:uiPriority w:val="99"/>
    <w:semiHidden/>
    <w:unhideWhenUsed/>
    <w:rsid w:val="00FC00EE"/>
  </w:style>
  <w:style w:type="character" w:styleId="Strong">
    <w:name w:val="Strong"/>
    <w:basedOn w:val="DefaultParagraphFont"/>
    <w:uiPriority w:val="22"/>
    <w:qFormat/>
    <w:rsid w:val="00FC00EE"/>
    <w:rPr>
      <w:b/>
      <w:bCs/>
    </w:rPr>
  </w:style>
  <w:style w:type="character" w:styleId="CommentReference">
    <w:name w:val="annotation reference"/>
    <w:basedOn w:val="DefaultParagraphFont"/>
    <w:uiPriority w:val="99"/>
    <w:semiHidden/>
    <w:unhideWhenUsed/>
    <w:rsid w:val="00BB1584"/>
    <w:rPr>
      <w:sz w:val="16"/>
      <w:szCs w:val="16"/>
    </w:rPr>
  </w:style>
  <w:style w:type="paragraph" w:styleId="CommentText">
    <w:name w:val="annotation text"/>
    <w:basedOn w:val="Normal"/>
    <w:link w:val="CommentTextChar"/>
    <w:uiPriority w:val="99"/>
    <w:semiHidden/>
    <w:unhideWhenUsed/>
    <w:rsid w:val="00BB1584"/>
    <w:pPr>
      <w:spacing w:line="240" w:lineRule="auto"/>
    </w:pPr>
    <w:rPr>
      <w:sz w:val="20"/>
      <w:szCs w:val="20"/>
    </w:rPr>
  </w:style>
  <w:style w:type="character" w:customStyle="1" w:styleId="CommentTextChar">
    <w:name w:val="Comment Text Char"/>
    <w:basedOn w:val="DefaultParagraphFont"/>
    <w:link w:val="CommentText"/>
    <w:uiPriority w:val="99"/>
    <w:semiHidden/>
    <w:rsid w:val="00BB1584"/>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BB1584"/>
    <w:rPr>
      <w:b/>
      <w:bCs/>
    </w:rPr>
  </w:style>
  <w:style w:type="character" w:customStyle="1" w:styleId="CommentSubjectChar">
    <w:name w:val="Comment Subject Char"/>
    <w:basedOn w:val="CommentTextChar"/>
    <w:link w:val="CommentSubject"/>
    <w:uiPriority w:val="99"/>
    <w:semiHidden/>
    <w:rsid w:val="00BB1584"/>
    <w:rPr>
      <w:rFonts w:eastAsia="MS Mincho"/>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For QR</cp:lastModifiedBy>
  <cp:revision>2</cp:revision>
  <dcterms:created xsi:type="dcterms:W3CDTF">2021-09-07T20:04:00Z</dcterms:created>
  <dcterms:modified xsi:type="dcterms:W3CDTF">2021-09-07T20:04:00Z</dcterms:modified>
</cp:coreProperties>
</file>