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5B" w:rsidRPr="002C7517" w:rsidRDefault="00650A56" w:rsidP="00650A56">
      <w:pPr>
        <w:spacing w:line="360" w:lineRule="auto"/>
        <w:rPr>
          <w:rFonts w:ascii="Times New Roman" w:hAnsi="Times New Roman" w:cs="Times New Roman"/>
          <w:b/>
          <w:color w:val="000000" w:themeColor="text1"/>
          <w:szCs w:val="21"/>
        </w:rPr>
      </w:pPr>
      <w:r w:rsidRPr="002C7517">
        <w:rPr>
          <w:rFonts w:ascii="Times New Roman" w:hAnsi="Times New Roman" w:cs="Times New Roman"/>
          <w:b/>
          <w:color w:val="000000" w:themeColor="text1"/>
          <w:szCs w:val="21"/>
        </w:rPr>
        <w:t xml:space="preserve">Early-Onset Subgroup of </w:t>
      </w:r>
      <w:bookmarkStart w:id="0" w:name="OLE_LINK16"/>
      <w:bookmarkStart w:id="1" w:name="OLE_LINK15"/>
      <w:r w:rsidRPr="002C7517">
        <w:rPr>
          <w:rFonts w:ascii="Times New Roman" w:hAnsi="Times New Roman" w:cs="Times New Roman"/>
          <w:b/>
          <w:color w:val="000000" w:themeColor="text1"/>
          <w:szCs w:val="21"/>
        </w:rPr>
        <w:t>Type 2 Diabetes</w:t>
      </w:r>
      <w:bookmarkEnd w:id="0"/>
      <w:bookmarkEnd w:id="1"/>
      <w:r w:rsidRPr="002C7517">
        <w:rPr>
          <w:rFonts w:ascii="Times New Roman" w:hAnsi="Times New Roman" w:cs="Times New Roman"/>
          <w:b/>
          <w:color w:val="000000" w:themeColor="text1"/>
          <w:szCs w:val="21"/>
        </w:rPr>
        <w:t xml:space="preserve"> and Risk of Dementia, Alzheimer's disease and Stroke: A Cohort Study</w:t>
      </w:r>
    </w:p>
    <w:p w:rsidR="00650A56" w:rsidRPr="002C7517" w:rsidRDefault="00650A56" w:rsidP="00650A56">
      <w:pPr>
        <w:spacing w:line="360" w:lineRule="auto"/>
        <w:rPr>
          <w:rFonts w:ascii="Times New Roman" w:hAnsi="Times New Roman" w:cs="Times New Roman"/>
          <w:b/>
          <w:color w:val="000000" w:themeColor="text1"/>
          <w:szCs w:val="21"/>
        </w:rPr>
      </w:pPr>
    </w:p>
    <w:p w:rsidR="00E7615B" w:rsidRPr="002C7517" w:rsidRDefault="00E7615B" w:rsidP="00E7615B">
      <w:pPr>
        <w:rPr>
          <w:rFonts w:ascii="Times New Roman" w:hAnsi="Times New Roman" w:cs="Times New Roman"/>
          <w:b/>
          <w:szCs w:val="21"/>
        </w:rPr>
      </w:pPr>
      <w:r w:rsidRPr="002C7517">
        <w:rPr>
          <w:rFonts w:ascii="Times New Roman" w:hAnsi="Times New Roman" w:cs="Times New Roman"/>
          <w:b/>
          <w:szCs w:val="21"/>
        </w:rPr>
        <w:t>eMethod:</w:t>
      </w:r>
    </w:p>
    <w:p w:rsidR="00E7615B" w:rsidRPr="002C7517" w:rsidRDefault="00E7615B" w:rsidP="00E7615B">
      <w:pPr>
        <w:rPr>
          <w:rFonts w:ascii="Times New Roman" w:hAnsi="Times New Roman" w:cs="Times New Roman"/>
          <w:b/>
          <w:szCs w:val="21"/>
        </w:rPr>
      </w:pPr>
      <w:r w:rsidRPr="002C7517">
        <w:rPr>
          <w:rFonts w:ascii="Times New Roman" w:hAnsi="Times New Roman" w:cs="Times New Roman"/>
          <w:b/>
          <w:szCs w:val="21"/>
        </w:rPr>
        <w:t xml:space="preserve">Dementia surveillance and case ascertainment </w:t>
      </w:r>
    </w:p>
    <w:p w:rsidR="00650A56" w:rsidRPr="002C7517" w:rsidRDefault="00E7615B" w:rsidP="001C5477">
      <w:pPr>
        <w:rPr>
          <w:rFonts w:ascii="Times New Roman" w:hAnsi="Times New Roman" w:cs="Times New Roman"/>
          <w:szCs w:val="21"/>
        </w:rPr>
      </w:pPr>
      <w:r w:rsidRPr="002C7517">
        <w:rPr>
          <w:rFonts w:ascii="Times New Roman" w:hAnsi="Times New Roman" w:cs="Times New Roman"/>
          <w:szCs w:val="21"/>
        </w:rPr>
        <w:t xml:space="preserve">The Epidemiology of Dementia Study has tracked incident cases of dementia in the Framingham cohort. Although not formally initiated until 1986, the initial baseline dementia-free Original cohort was determined from 1976-78. Tracking for incident dementia in the Offspring cohort also began in 1976 and subjects have had serial </w:t>
      </w:r>
      <w:r w:rsidR="001C5477" w:rsidRPr="001C5477">
        <w:rPr>
          <w:rFonts w:ascii="Times New Roman" w:hAnsi="Times New Roman" w:cs="Times New Roman"/>
          <w:szCs w:val="21"/>
        </w:rPr>
        <w:t>Mini-Mental State Examination(MMSE)</w:t>
      </w:r>
      <w:r w:rsidRPr="002C7517">
        <w:rPr>
          <w:rFonts w:ascii="Times New Roman" w:hAnsi="Times New Roman" w:cs="Times New Roman"/>
          <w:szCs w:val="21"/>
        </w:rPr>
        <w:t xml:space="preserve"> since 1991</w:t>
      </w:r>
      <w:r w:rsidR="00A257D4" w:rsidRPr="002C7517">
        <w:rPr>
          <w:rFonts w:ascii="Times New Roman" w:hAnsi="Times New Roman" w:cs="Times New Roman"/>
          <w:szCs w:val="21"/>
        </w:rPr>
        <w:fldChar w:fldCharType="begin"/>
      </w:r>
      <w:r w:rsidR="00650A56" w:rsidRPr="002C7517">
        <w:rPr>
          <w:rFonts w:ascii="Times New Roman" w:hAnsi="Times New Roman" w:cs="Times New Roman"/>
          <w:szCs w:val="21"/>
        </w:rPr>
        <w:instrText xml:space="preserve"> ADDIN EN.CITE &lt;EndNote&gt;&lt;Cite&gt;&lt;Author&gt;Bachman&lt;/Author&gt;&lt;Year&gt;1992&lt;/Year&gt;&lt;RecNum&gt;4&lt;/RecNum&gt;&lt;DisplayText&gt;[1]&lt;/DisplayText&gt;&lt;record&gt;&lt;rec-number&gt;4&lt;/rec-number&gt;&lt;foreign-keys&gt;&lt;key app="EN" db-id="atsa2t0ppxrer2erfprxr2vxvvxpd2vxts5e"&gt;4&lt;/key&gt;&lt;/foreign-keys&gt;&lt;ref-type name="Journal Article"&gt;17&lt;/ref-type&gt;&lt;contributors&gt;&lt;authors&gt;&lt;author&gt;Bachman, D. L.&lt;/author&gt;&lt;author&gt;Wolf, P. A.&lt;/author&gt;&lt;author&gt;Linn, R.&lt;/author&gt;&lt;author&gt;Knoefel, J. E.&lt;/author&gt;&lt;author&gt;Cobb, J.&lt;/author&gt;&lt;author&gt;Belanger, A.&lt;/author&gt;&lt;author&gt;D&amp;apos;Agostino, R. B.&lt;/author&gt;&lt;author&gt;White, L. R.&lt;/author&gt;&lt;/authors&gt;&lt;/contributors&gt;&lt;auth-address&gt;Department of Neurology, Boston University School of Medicine, MA 02118.&lt;/auth-address&gt;&lt;titles&gt;&lt;title&gt;Prevalence of dementia and probable senile dementia of the Alzheimer type in the Framingham Study&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115-9&lt;/pages&gt;&lt;volume&gt;42&lt;/volume&gt;&lt;number&gt;1&lt;/number&gt;&lt;keywords&gt;&lt;keyword&gt;Adult&lt;/keyword&gt;&lt;keyword&gt;Age Factors&lt;/keyword&gt;&lt;keyword&gt;Aged&lt;/keyword&gt;&lt;keyword&gt;Aged, 80 and over&lt;/keyword&gt;&lt;keyword&gt;Alzheimer Disease/diagnosis/*epidemiology&lt;/keyword&gt;&lt;keyword&gt;Cohort Studies&lt;/keyword&gt;&lt;keyword&gt;Dementia/diagnosis/*epidemiology&lt;/keyword&gt;&lt;keyword&gt;Female&lt;/keyword&gt;&lt;keyword&gt;Humans&lt;/keyword&gt;&lt;keyword&gt;Male&lt;/keyword&gt;&lt;keyword&gt;Mental Status Schedule&lt;/keyword&gt;&lt;keyword&gt;Middle Aged&lt;/keyword&gt;&lt;keyword&gt;Prevalence&lt;/keyword&gt;&lt;keyword&gt;Sex Factors&lt;/keyword&gt;&lt;/keywords&gt;&lt;dates&gt;&lt;year&gt;1992&lt;/year&gt;&lt;pub-dates&gt;&lt;date&gt;Jan&lt;/date&gt;&lt;/pub-dates&gt;&lt;/dates&gt;&lt;isbn&gt;0028-3878 (Print)&amp;#xD;0028-3878 (Linking)&lt;/isbn&gt;&lt;accession-num&gt;1734291&lt;/accession-num&gt;&lt;urls&gt;&lt;related-urls&gt;&lt;url&gt;http://www.ncbi.nlm.nih.gov/pubmed/1734291&lt;/url&gt;&lt;/related-urls&gt;&lt;/urls&gt;&lt;electronic-resource-num&gt;10.1212/wnl.42.1.115&lt;/electronic-resource-num&gt;&lt;/record&gt;&lt;/Cite&gt;&lt;/EndNote&gt;</w:instrText>
      </w:r>
      <w:r w:rsidR="00A257D4" w:rsidRPr="002C7517">
        <w:rPr>
          <w:rFonts w:ascii="Times New Roman" w:hAnsi="Times New Roman" w:cs="Times New Roman"/>
          <w:szCs w:val="21"/>
        </w:rPr>
        <w:fldChar w:fldCharType="separate"/>
      </w:r>
      <w:r w:rsidR="00650A56" w:rsidRPr="002C7517">
        <w:rPr>
          <w:rFonts w:ascii="Times New Roman" w:hAnsi="Times New Roman" w:cs="Times New Roman"/>
          <w:noProof/>
          <w:szCs w:val="21"/>
        </w:rPr>
        <w:t>[</w:t>
      </w:r>
      <w:hyperlink w:anchor="_ENREF_1" w:tooltip="Bachman, 1992 #4" w:history="1">
        <w:r w:rsidR="00650A56" w:rsidRPr="002C7517">
          <w:rPr>
            <w:rFonts w:ascii="Times New Roman" w:hAnsi="Times New Roman" w:cs="Times New Roman"/>
            <w:noProof/>
            <w:szCs w:val="21"/>
          </w:rPr>
          <w:t>1</w:t>
        </w:r>
      </w:hyperlink>
      <w:r w:rsidR="00650A56" w:rsidRPr="002C7517">
        <w:rPr>
          <w:rFonts w:ascii="Times New Roman" w:hAnsi="Times New Roman" w:cs="Times New Roman"/>
          <w:noProof/>
          <w:szCs w:val="21"/>
        </w:rPr>
        <w:t>]</w:t>
      </w:r>
      <w:r w:rsidR="00A257D4" w:rsidRPr="002C7517">
        <w:rPr>
          <w:rFonts w:ascii="Times New Roman" w:hAnsi="Times New Roman" w:cs="Times New Roman"/>
          <w:szCs w:val="21"/>
        </w:rPr>
        <w:fldChar w:fldCharType="end"/>
      </w:r>
      <w:r w:rsidRPr="002C7517">
        <w:rPr>
          <w:rFonts w:ascii="Times New Roman" w:hAnsi="Times New Roman" w:cs="Times New Roman"/>
          <w:szCs w:val="21"/>
        </w:rPr>
        <w:t xml:space="preserve">. </w:t>
      </w:r>
      <w:r w:rsidR="00650A56" w:rsidRPr="002C7517">
        <w:rPr>
          <w:rFonts w:ascii="Times New Roman" w:hAnsi="Times New Roman" w:cs="Times New Roman"/>
          <w:szCs w:val="21"/>
        </w:rPr>
        <w:t>Participants are flagged with suspected cognitive impairment using the MMSE if (1) performance falls below education-based cutoff scores, 14 (2) a decline of 3 or more points is observed between consecutive examinations, or (3) a decrease of 5 or more points is observed from the participant’s highest past MMSE score. Participants are also flagged following referrals or concern expressed by the participant, their family, or primary care physician. Once flagged with suspected cognitive impairment, participants complete annual neuropsychological and neurologic evaluations until they develop dementia or are adjudicated to be normal. Evaluations indicative of possible dementia are followed by referral to our study dementia review committee, comprising a neurologist and neuropsychologist. The committee adjudicates a diagnosis of dementia in line with the DSM-IV. A diagnosis of AD dementia is based on the criteria of the National Institute of Neurologic and Communicative Disorders and Stroke and the Alzheimer’s disease and Related Disorders Association for definite, probable, or possible AD</w:t>
      </w:r>
      <w:r w:rsidR="00A257D4" w:rsidRPr="002C7517">
        <w:rPr>
          <w:rFonts w:ascii="Times New Roman" w:hAnsi="Times New Roman" w:cs="Times New Roman"/>
          <w:szCs w:val="21"/>
        </w:rPr>
        <w:fldChar w:fldCharType="begin"/>
      </w:r>
      <w:r w:rsidR="00650A56" w:rsidRPr="002C7517">
        <w:rPr>
          <w:rFonts w:ascii="Times New Roman" w:hAnsi="Times New Roman" w:cs="Times New Roman"/>
          <w:szCs w:val="21"/>
        </w:rPr>
        <w:instrText xml:space="preserve"> ADDIN EN.CITE &lt;EndNote&gt;&lt;Cite&gt;&lt;Author&gt;McKhann&lt;/Author&gt;&lt;Year&gt;1984&lt;/Year&gt;&lt;RecNum&gt;3&lt;/RecNum&gt;&lt;DisplayText&gt;[2]&lt;/DisplayText&gt;&lt;record&gt;&lt;rec-number&gt;3&lt;/rec-number&gt;&lt;foreign-keys&gt;&lt;key app="EN" db-id="atsa2t0ppxrer2erfprxr2vxvvxpd2vxts5e"&gt;3&lt;/key&gt;&lt;/foreign-keys&gt;&lt;ref-type name="Journal Article"&gt;17&lt;/ref-type&gt;&lt;contributors&gt;&lt;authors&gt;&lt;author&gt;McKhann, G.&lt;/author&gt;&lt;author&gt;Drachman, D.&lt;/author&gt;&lt;author&gt;Folstein, M.&lt;/author&gt;&lt;author&gt;Katzman, R.&lt;/author&gt;&lt;author&gt;Price, D.&lt;/author&gt;&lt;author&gt;Stadlan, E. M.&lt;/author&gt;&lt;/authors&gt;&lt;/contributors&gt;&lt;titles&gt;&lt;title&gt;Clinical diagnosis of Alzheimer&amp;apos;s disease: report of the NINCDS-ADRDA Work Group under the auspices of Department of Health and Human Services Task Force on Alzheimer&amp;apos;s Diseas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939-44&lt;/pages&gt;&lt;volume&gt;34&lt;/volume&gt;&lt;number&gt;7&lt;/number&gt;&lt;keywords&gt;&lt;keyword&gt;Alzheimer Disease/*diagnosis/diagnostic imaging/psychology&lt;/keyword&gt;&lt;keyword&gt;Humans&lt;/keyword&gt;&lt;keyword&gt;Psychological Tests&lt;/keyword&gt;&lt;keyword&gt;Tomography, Emission-Computed&lt;/keyword&gt;&lt;keyword&gt;Tomography, X-Ray Computed&lt;/keyword&gt;&lt;keyword&gt;United States&lt;/keyword&gt;&lt;keyword&gt;United States Dept. of Health and Human Services&lt;/keyword&gt;&lt;/keywords&gt;&lt;dates&gt;&lt;year&gt;1984&lt;/year&gt;&lt;pub-dates&gt;&lt;date&gt;Jul&lt;/date&gt;&lt;/pub-dates&gt;&lt;/dates&gt;&lt;isbn&gt;0028-3878 (Print)&amp;#xD;0028-3878 (Linking)&lt;/isbn&gt;&lt;accession-num&gt;6610841&lt;/accession-num&gt;&lt;urls&gt;&lt;related-urls&gt;&lt;url&gt;http://www.ncbi.nlm.nih.gov/pubmed/6610841&lt;/url&gt;&lt;/related-urls&gt;&lt;/urls&gt;&lt;electronic-resource-num&gt;10.1212/wnl.34.7.939&lt;/electronic-resource-num&gt;&lt;/record&gt;&lt;/Cite&gt;&lt;/EndNote&gt;</w:instrText>
      </w:r>
      <w:r w:rsidR="00A257D4" w:rsidRPr="002C7517">
        <w:rPr>
          <w:rFonts w:ascii="Times New Roman" w:hAnsi="Times New Roman" w:cs="Times New Roman"/>
          <w:szCs w:val="21"/>
        </w:rPr>
        <w:fldChar w:fldCharType="separate"/>
      </w:r>
      <w:r w:rsidR="00650A56" w:rsidRPr="002C7517">
        <w:rPr>
          <w:rFonts w:ascii="Times New Roman" w:hAnsi="Times New Roman" w:cs="Times New Roman"/>
          <w:noProof/>
          <w:szCs w:val="21"/>
        </w:rPr>
        <w:t>[</w:t>
      </w:r>
      <w:hyperlink w:anchor="_ENREF_2" w:tooltip="McKhann, 1984 #3" w:history="1">
        <w:r w:rsidR="00650A56" w:rsidRPr="002C7517">
          <w:rPr>
            <w:rFonts w:ascii="Times New Roman" w:hAnsi="Times New Roman" w:cs="Times New Roman"/>
            <w:noProof/>
            <w:szCs w:val="21"/>
          </w:rPr>
          <w:t>2</w:t>
        </w:r>
      </w:hyperlink>
      <w:r w:rsidR="00650A56" w:rsidRPr="002C7517">
        <w:rPr>
          <w:rFonts w:ascii="Times New Roman" w:hAnsi="Times New Roman" w:cs="Times New Roman"/>
          <w:noProof/>
          <w:szCs w:val="21"/>
        </w:rPr>
        <w:t>]</w:t>
      </w:r>
      <w:r w:rsidR="00A257D4" w:rsidRPr="002C7517">
        <w:rPr>
          <w:rFonts w:ascii="Times New Roman" w:hAnsi="Times New Roman" w:cs="Times New Roman"/>
          <w:szCs w:val="21"/>
        </w:rPr>
        <w:fldChar w:fldCharType="end"/>
      </w:r>
      <w:r w:rsidRPr="002C7517">
        <w:rPr>
          <w:rFonts w:ascii="Times New Roman" w:hAnsi="Times New Roman" w:cs="Times New Roman"/>
          <w:szCs w:val="21"/>
        </w:rPr>
        <w:t>.</w:t>
      </w:r>
    </w:p>
    <w:p w:rsidR="00650A56" w:rsidRPr="002C7517" w:rsidRDefault="00650A56" w:rsidP="00E7615B">
      <w:pPr>
        <w:rPr>
          <w:rFonts w:ascii="Times New Roman" w:hAnsi="Times New Roman" w:cs="Times New Roman"/>
          <w:szCs w:val="21"/>
        </w:rPr>
      </w:pPr>
    </w:p>
    <w:p w:rsidR="00650A56" w:rsidRPr="002C7517" w:rsidRDefault="00650A56">
      <w:pPr>
        <w:widowControl/>
        <w:jc w:val="left"/>
        <w:rPr>
          <w:rFonts w:ascii="Times New Roman" w:hAnsi="Times New Roman" w:cs="Times New Roman"/>
          <w:szCs w:val="21"/>
        </w:rPr>
      </w:pPr>
      <w:r w:rsidRPr="002C7517">
        <w:rPr>
          <w:rFonts w:ascii="Times New Roman" w:hAnsi="Times New Roman" w:cs="Times New Roman"/>
          <w:szCs w:val="21"/>
        </w:rPr>
        <w:br w:type="page"/>
      </w:r>
    </w:p>
    <w:p w:rsidR="00650A56" w:rsidRPr="002C7517" w:rsidRDefault="00650A56" w:rsidP="00650A56">
      <w:pPr>
        <w:jc w:val="left"/>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lastRenderedPageBreak/>
        <w:t>eTable 1. Comparison of the disease duration between different subgroup of diabetes age of onset</w:t>
      </w:r>
    </w:p>
    <w:tbl>
      <w:tblPr>
        <w:tblpPr w:leftFromText="180" w:rightFromText="180" w:vertAnchor="page" w:horzAnchor="margin" w:tblpY="2257"/>
        <w:tblW w:w="7427" w:type="dxa"/>
        <w:tblLook w:val="04A0"/>
      </w:tblPr>
      <w:tblGrid>
        <w:gridCol w:w="2220"/>
        <w:gridCol w:w="1429"/>
        <w:gridCol w:w="1468"/>
        <w:gridCol w:w="1155"/>
        <w:gridCol w:w="1155"/>
      </w:tblGrid>
      <w:tr w:rsidR="00650A56" w:rsidRPr="002C7517" w:rsidTr="00650A56">
        <w:trPr>
          <w:trHeight w:val="274"/>
        </w:trPr>
        <w:tc>
          <w:tcPr>
            <w:tcW w:w="0" w:type="auto"/>
            <w:vMerge w:val="restart"/>
            <w:tcBorders>
              <w:top w:val="single" w:sz="4" w:space="0" w:color="auto"/>
              <w:left w:val="nil"/>
              <w:bottom w:val="single" w:sz="4" w:space="0" w:color="auto"/>
              <w:right w:val="nil"/>
            </w:tcBorders>
            <w:noWrap/>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Age of diabetes onset</w:t>
            </w:r>
          </w:p>
        </w:tc>
        <w:tc>
          <w:tcPr>
            <w:tcW w:w="0" w:type="auto"/>
            <w:gridSpan w:val="4"/>
            <w:tcBorders>
              <w:top w:val="single" w:sz="4" w:space="0" w:color="auto"/>
              <w:left w:val="nil"/>
              <w:bottom w:val="nil"/>
              <w:right w:val="nil"/>
            </w:tcBorders>
            <w:vAlign w:val="center"/>
            <w:hideMark/>
          </w:tcPr>
          <w:p w:rsidR="00650A56" w:rsidRPr="002C7517" w:rsidRDefault="00650A56" w:rsidP="00650A56">
            <w:pPr>
              <w:widowControl/>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Duration of diabetes</w:t>
            </w:r>
          </w:p>
        </w:tc>
      </w:tr>
      <w:tr w:rsidR="00650A56" w:rsidRPr="002C7517" w:rsidTr="00650A56">
        <w:trPr>
          <w:trHeight w:val="528"/>
        </w:trPr>
        <w:tc>
          <w:tcPr>
            <w:tcW w:w="0" w:type="auto"/>
            <w:vMerge/>
            <w:tcBorders>
              <w:top w:val="single" w:sz="4" w:space="0" w:color="auto"/>
              <w:left w:val="nil"/>
              <w:bottom w:val="single" w:sz="4" w:space="0" w:color="auto"/>
              <w:right w:val="nil"/>
            </w:tcBorders>
            <w:vAlign w:val="center"/>
            <w:hideMark/>
          </w:tcPr>
          <w:p w:rsidR="00650A56" w:rsidRPr="002C7517" w:rsidRDefault="00650A56" w:rsidP="00650A56">
            <w:pPr>
              <w:widowControl/>
              <w:jc w:val="left"/>
              <w:rPr>
                <w:rFonts w:ascii="Times New Roman" w:eastAsia="SimSun" w:hAnsi="Times New Roman" w:cs="Times New Roman"/>
                <w:color w:val="000000"/>
                <w:kern w:val="0"/>
                <w:szCs w:val="21"/>
              </w:rPr>
            </w:pP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All dementia</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AD dementia</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Stroke</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All</w:t>
            </w:r>
          </w:p>
        </w:tc>
      </w:tr>
      <w:tr w:rsidR="00650A56" w:rsidRPr="002C7517" w:rsidTr="00650A56">
        <w:trPr>
          <w:trHeight w:val="274"/>
        </w:trPr>
        <w:tc>
          <w:tcPr>
            <w:tcW w:w="0" w:type="auto"/>
            <w:tcBorders>
              <w:top w:val="single" w:sz="4" w:space="0" w:color="auto"/>
              <w:left w:val="nil"/>
              <w:bottom w:val="nil"/>
              <w:right w:val="nil"/>
            </w:tcBorders>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&lt;55 years</w:t>
            </w:r>
          </w:p>
        </w:tc>
        <w:tc>
          <w:tcPr>
            <w:tcW w:w="0" w:type="auto"/>
            <w:tcBorders>
              <w:top w:val="single" w:sz="4" w:space="0" w:color="auto"/>
              <w:left w:val="nil"/>
              <w:bottom w:val="nil"/>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22(17-29)</w:t>
            </w:r>
          </w:p>
        </w:tc>
        <w:tc>
          <w:tcPr>
            <w:tcW w:w="0" w:type="auto"/>
            <w:tcBorders>
              <w:top w:val="single" w:sz="4" w:space="0" w:color="auto"/>
              <w:left w:val="nil"/>
              <w:bottom w:val="nil"/>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23(17-31)</w:t>
            </w:r>
          </w:p>
        </w:tc>
        <w:tc>
          <w:tcPr>
            <w:tcW w:w="0" w:type="auto"/>
            <w:tcBorders>
              <w:top w:val="single" w:sz="4" w:space="0" w:color="auto"/>
              <w:left w:val="nil"/>
              <w:bottom w:val="nil"/>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28(22-33)</w:t>
            </w:r>
          </w:p>
        </w:tc>
        <w:tc>
          <w:tcPr>
            <w:tcW w:w="0" w:type="auto"/>
            <w:tcBorders>
              <w:top w:val="single" w:sz="4" w:space="0" w:color="auto"/>
              <w:left w:val="nil"/>
              <w:bottom w:val="nil"/>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22(18-29)</w:t>
            </w:r>
          </w:p>
        </w:tc>
      </w:tr>
      <w:tr w:rsidR="00650A56" w:rsidRPr="002C7517" w:rsidTr="00650A56">
        <w:trPr>
          <w:trHeight w:val="274"/>
        </w:trPr>
        <w:tc>
          <w:tcPr>
            <w:tcW w:w="0" w:type="auto"/>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55–64 years</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15(8-19)</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15(8-24)</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12(8-22)</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15(8-18)</w:t>
            </w:r>
          </w:p>
        </w:tc>
      </w:tr>
      <w:tr w:rsidR="00650A56" w:rsidRPr="002C7517" w:rsidTr="00650A56">
        <w:trPr>
          <w:trHeight w:val="274"/>
        </w:trPr>
        <w:tc>
          <w:tcPr>
            <w:tcW w:w="0" w:type="auto"/>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&gt;65 years</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5(2-17)</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6(1-13)</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6(2-17)</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7(6-17)</w:t>
            </w:r>
          </w:p>
        </w:tc>
      </w:tr>
      <w:tr w:rsidR="00650A56" w:rsidRPr="002C7517" w:rsidTr="00650A56">
        <w:trPr>
          <w:trHeight w:val="274"/>
        </w:trPr>
        <w:tc>
          <w:tcPr>
            <w:tcW w:w="0" w:type="auto"/>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Overall</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19(15-27)</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22(17-29)</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8(5-22)</w:t>
            </w:r>
          </w:p>
        </w:tc>
        <w:tc>
          <w:tcPr>
            <w:tcW w:w="0" w:type="auto"/>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12(6-19)</w:t>
            </w:r>
          </w:p>
        </w:tc>
      </w:tr>
      <w:tr w:rsidR="00650A56" w:rsidRPr="002C7517" w:rsidTr="00650A56">
        <w:trPr>
          <w:trHeight w:val="274"/>
        </w:trPr>
        <w:tc>
          <w:tcPr>
            <w:tcW w:w="0" w:type="auto"/>
            <w:tcBorders>
              <w:top w:val="nil"/>
              <w:left w:val="nil"/>
              <w:bottom w:val="single" w:sz="4" w:space="0" w:color="auto"/>
              <w:right w:val="nil"/>
            </w:tcBorders>
            <w:vAlign w:val="center"/>
            <w:hideMark/>
          </w:tcPr>
          <w:p w:rsidR="00650A56" w:rsidRPr="002C7517" w:rsidRDefault="00650A56" w:rsidP="00650A56">
            <w:pP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P value</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&lt;0.001</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&lt;0.001</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&lt;0.001</w:t>
            </w:r>
          </w:p>
        </w:tc>
        <w:tc>
          <w:tcPr>
            <w:tcW w:w="0" w:type="auto"/>
            <w:tcBorders>
              <w:top w:val="nil"/>
              <w:left w:val="nil"/>
              <w:bottom w:val="single" w:sz="4" w:space="0" w:color="auto"/>
              <w:right w:val="nil"/>
            </w:tcBorders>
            <w:vAlign w:val="center"/>
            <w:hideMark/>
          </w:tcPr>
          <w:p w:rsidR="00650A56" w:rsidRPr="002C7517" w:rsidRDefault="00650A56" w:rsidP="00650A56">
            <w:pPr>
              <w:jc w:val="center"/>
              <w:rPr>
                <w:rFonts w:ascii="Times New Roman" w:eastAsia="SimSun" w:hAnsi="Times New Roman" w:cs="Times New Roman"/>
                <w:color w:val="000000"/>
                <w:kern w:val="0"/>
                <w:szCs w:val="21"/>
              </w:rPr>
            </w:pPr>
            <w:r w:rsidRPr="002C7517">
              <w:rPr>
                <w:rFonts w:ascii="Times New Roman" w:eastAsia="SimSun" w:hAnsi="Times New Roman" w:cs="Times New Roman"/>
                <w:color w:val="000000"/>
                <w:kern w:val="0"/>
                <w:szCs w:val="21"/>
              </w:rPr>
              <w:t>&lt;0.001</w:t>
            </w:r>
          </w:p>
        </w:tc>
      </w:tr>
    </w:tbl>
    <w:p w:rsidR="00650A56" w:rsidRPr="002C7517" w:rsidRDefault="00650A56" w:rsidP="00650A56">
      <w:pPr>
        <w:widowControl/>
        <w:jc w:val="left"/>
        <w:rPr>
          <w:rFonts w:ascii="Times New Roman" w:eastAsia="SimSun" w:hAnsi="Times New Roman" w:cs="Times New Roman"/>
          <w:color w:val="000000"/>
          <w:kern w:val="0"/>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r w:rsidRPr="002C7517">
        <w:rPr>
          <w:rFonts w:ascii="Times New Roman" w:eastAsia="SimSun" w:hAnsi="Times New Roman" w:cs="Times New Roman"/>
          <w:color w:val="000000"/>
          <w:kern w:val="0"/>
          <w:szCs w:val="21"/>
        </w:rPr>
        <w:t>Abbreviations: AD, Alzheimer disease.</w:t>
      </w:r>
    </w:p>
    <w:p w:rsidR="00650A56" w:rsidRPr="002C7517" w:rsidRDefault="00650A56" w:rsidP="00E7615B">
      <w:pPr>
        <w:rPr>
          <w:rFonts w:ascii="Times New Roman" w:hAnsi="Times New Roman" w:cs="Times New Roman"/>
          <w:szCs w:val="21"/>
        </w:rPr>
      </w:pPr>
    </w:p>
    <w:p w:rsidR="00650A56" w:rsidRPr="002C7517" w:rsidRDefault="00650A56" w:rsidP="00E7615B">
      <w:pPr>
        <w:rPr>
          <w:rFonts w:ascii="Times New Roman" w:hAnsi="Times New Roman" w:cs="Times New Roman"/>
          <w:szCs w:val="21"/>
        </w:rPr>
      </w:pPr>
    </w:p>
    <w:p w:rsidR="00650A56" w:rsidRPr="000B6CB9" w:rsidRDefault="00650A56" w:rsidP="00E7615B">
      <w:pPr>
        <w:rPr>
          <w:rFonts w:ascii="Times New Roman" w:hAnsi="Times New Roman" w:cs="Times New Roman"/>
          <w:b/>
          <w:szCs w:val="21"/>
        </w:rPr>
      </w:pPr>
      <w:r w:rsidRPr="000B6CB9">
        <w:rPr>
          <w:rFonts w:ascii="Times New Roman" w:hAnsi="Times New Roman" w:cs="Times New Roman"/>
          <w:b/>
          <w:szCs w:val="21"/>
        </w:rPr>
        <w:t>REFERENCE</w:t>
      </w:r>
    </w:p>
    <w:p w:rsidR="00650A56" w:rsidRPr="002C7517" w:rsidRDefault="00A257D4" w:rsidP="00650A56">
      <w:pPr>
        <w:pStyle w:val="EndNoteBibliography"/>
        <w:ind w:left="720" w:hanging="720"/>
        <w:rPr>
          <w:rFonts w:ascii="Times New Roman" w:hAnsi="Times New Roman" w:cs="Times New Roman"/>
          <w:sz w:val="21"/>
          <w:szCs w:val="21"/>
        </w:rPr>
      </w:pPr>
      <w:r w:rsidRPr="002C7517">
        <w:rPr>
          <w:rFonts w:ascii="Times New Roman" w:hAnsi="Times New Roman" w:cs="Times New Roman"/>
          <w:sz w:val="21"/>
          <w:szCs w:val="21"/>
        </w:rPr>
        <w:fldChar w:fldCharType="begin"/>
      </w:r>
      <w:r w:rsidR="00650A56" w:rsidRPr="002C7517">
        <w:rPr>
          <w:rFonts w:ascii="Times New Roman" w:hAnsi="Times New Roman" w:cs="Times New Roman"/>
          <w:sz w:val="21"/>
          <w:szCs w:val="21"/>
        </w:rPr>
        <w:instrText xml:space="preserve"> ADDIN EN.REFLIST </w:instrText>
      </w:r>
      <w:r w:rsidRPr="002C7517">
        <w:rPr>
          <w:rFonts w:ascii="Times New Roman" w:hAnsi="Times New Roman" w:cs="Times New Roman"/>
          <w:sz w:val="21"/>
          <w:szCs w:val="21"/>
        </w:rPr>
        <w:fldChar w:fldCharType="separate"/>
      </w:r>
      <w:bookmarkStart w:id="2" w:name="_ENREF_1"/>
      <w:r w:rsidR="00650A56" w:rsidRPr="002C7517">
        <w:rPr>
          <w:rFonts w:ascii="Times New Roman" w:hAnsi="Times New Roman" w:cs="Times New Roman"/>
          <w:sz w:val="21"/>
          <w:szCs w:val="21"/>
        </w:rPr>
        <w:t>[1]</w:t>
      </w:r>
      <w:r w:rsidR="00650A56" w:rsidRPr="002C7517">
        <w:rPr>
          <w:rFonts w:ascii="Times New Roman" w:hAnsi="Times New Roman" w:cs="Times New Roman"/>
          <w:sz w:val="21"/>
          <w:szCs w:val="21"/>
        </w:rPr>
        <w:tab/>
        <w:t xml:space="preserve">Bachman DL, Wolf PA, Linn R, Knoefel JE, Cobb J, Belanger A, D'Agostino RB, White LR (1992) Prevalence of dementia and probable senile dementia of the Alzheimer type in the Framingham Study. </w:t>
      </w:r>
      <w:r w:rsidR="00650A56" w:rsidRPr="002C7517">
        <w:rPr>
          <w:rFonts w:ascii="Times New Roman" w:hAnsi="Times New Roman" w:cs="Times New Roman"/>
          <w:i/>
          <w:sz w:val="21"/>
          <w:szCs w:val="21"/>
        </w:rPr>
        <w:t>Neurology</w:t>
      </w:r>
      <w:r w:rsidR="00650A56" w:rsidRPr="002C7517">
        <w:rPr>
          <w:rFonts w:ascii="Times New Roman" w:hAnsi="Times New Roman" w:cs="Times New Roman"/>
          <w:b/>
          <w:sz w:val="21"/>
          <w:szCs w:val="21"/>
        </w:rPr>
        <w:t>42</w:t>
      </w:r>
      <w:r w:rsidR="00650A56" w:rsidRPr="002C7517">
        <w:rPr>
          <w:rFonts w:ascii="Times New Roman" w:hAnsi="Times New Roman" w:cs="Times New Roman"/>
          <w:sz w:val="21"/>
          <w:szCs w:val="21"/>
        </w:rPr>
        <w:t>, 115-119.</w:t>
      </w:r>
      <w:bookmarkEnd w:id="2"/>
    </w:p>
    <w:p w:rsidR="00650A56" w:rsidRPr="002C7517" w:rsidRDefault="00650A56" w:rsidP="00650A56">
      <w:pPr>
        <w:pStyle w:val="EndNoteBibliography"/>
        <w:ind w:left="720" w:hanging="720"/>
        <w:rPr>
          <w:rFonts w:ascii="Times New Roman" w:hAnsi="Times New Roman" w:cs="Times New Roman"/>
          <w:sz w:val="21"/>
          <w:szCs w:val="21"/>
        </w:rPr>
      </w:pPr>
      <w:bookmarkStart w:id="3" w:name="_ENREF_2"/>
      <w:r w:rsidRPr="002C7517">
        <w:rPr>
          <w:rFonts w:ascii="Times New Roman" w:hAnsi="Times New Roman" w:cs="Times New Roman"/>
          <w:sz w:val="21"/>
          <w:szCs w:val="21"/>
        </w:rPr>
        <w:t>[2]</w:t>
      </w:r>
      <w:r w:rsidRPr="002C7517">
        <w:rPr>
          <w:rFonts w:ascii="Times New Roman" w:hAnsi="Times New Roman" w:cs="Times New Roman"/>
          <w:sz w:val="21"/>
          <w:szCs w:val="21"/>
        </w:rPr>
        <w:tab/>
        <w:t xml:space="preserve">McKhann G, Drachman D, Folstein M, Katzman R, Price D, Stadlan EM (1984) Clinical diagnosis of Alzheimer's disease: report of the NINCDS-ADRDA Work Group under the auspices of Department of Health and Human Services Task Force on Alzheimer's Disease. </w:t>
      </w:r>
      <w:r w:rsidRPr="002C7517">
        <w:rPr>
          <w:rFonts w:ascii="Times New Roman" w:hAnsi="Times New Roman" w:cs="Times New Roman"/>
          <w:i/>
          <w:sz w:val="21"/>
          <w:szCs w:val="21"/>
        </w:rPr>
        <w:t>Neurology</w:t>
      </w:r>
      <w:r w:rsidRPr="002C7517">
        <w:rPr>
          <w:rFonts w:ascii="Times New Roman" w:hAnsi="Times New Roman" w:cs="Times New Roman"/>
          <w:b/>
          <w:sz w:val="21"/>
          <w:szCs w:val="21"/>
        </w:rPr>
        <w:t>34</w:t>
      </w:r>
      <w:r w:rsidRPr="002C7517">
        <w:rPr>
          <w:rFonts w:ascii="Times New Roman" w:hAnsi="Times New Roman" w:cs="Times New Roman"/>
          <w:sz w:val="21"/>
          <w:szCs w:val="21"/>
        </w:rPr>
        <w:t>, 939-944.</w:t>
      </w:r>
      <w:bookmarkEnd w:id="3"/>
    </w:p>
    <w:p w:rsidR="00E7615B" w:rsidRPr="002C7517" w:rsidRDefault="00A257D4" w:rsidP="00E7615B">
      <w:pPr>
        <w:rPr>
          <w:rFonts w:ascii="Times New Roman" w:hAnsi="Times New Roman" w:cs="Times New Roman"/>
          <w:szCs w:val="21"/>
        </w:rPr>
      </w:pPr>
      <w:r w:rsidRPr="002C7517">
        <w:rPr>
          <w:rFonts w:ascii="Times New Roman" w:hAnsi="Times New Roman" w:cs="Times New Roman"/>
          <w:szCs w:val="21"/>
        </w:rPr>
        <w:fldChar w:fldCharType="end"/>
      </w:r>
    </w:p>
    <w:sectPr w:rsidR="00E7615B" w:rsidRPr="002C7517" w:rsidSect="00A25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529" w:rsidRDefault="00A37529" w:rsidP="00FA55C7">
      <w:r>
        <w:separator/>
      </w:r>
    </w:p>
  </w:endnote>
  <w:endnote w:type="continuationSeparator" w:id="1">
    <w:p w:rsidR="00A37529" w:rsidRDefault="00A37529" w:rsidP="00FA55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529" w:rsidRDefault="00A37529" w:rsidP="00FA55C7">
      <w:r>
        <w:separator/>
      </w:r>
    </w:p>
  </w:footnote>
  <w:footnote w:type="continuationSeparator" w:id="1">
    <w:p w:rsidR="00A37529" w:rsidRDefault="00A37529" w:rsidP="00FA55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J Alzheimer&amp;apos;s Diseas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tsa2t0ppxrer2erfprxr2vxvvxpd2vxts5e&quot;&gt;EOD-Dementia&lt;record-ids&gt;&lt;item&gt;3&lt;/item&gt;&lt;item&gt;4&lt;/item&gt;&lt;/record-ids&gt;&lt;/item&gt;&lt;/Libraries&gt;"/>
  </w:docVars>
  <w:rsids>
    <w:rsidRoot w:val="00AE002C"/>
    <w:rsid w:val="000B6CB9"/>
    <w:rsid w:val="001B3B8B"/>
    <w:rsid w:val="001C5477"/>
    <w:rsid w:val="002C7517"/>
    <w:rsid w:val="0056725D"/>
    <w:rsid w:val="00650A56"/>
    <w:rsid w:val="0071191E"/>
    <w:rsid w:val="00777743"/>
    <w:rsid w:val="00A257D4"/>
    <w:rsid w:val="00A37529"/>
    <w:rsid w:val="00AE002C"/>
    <w:rsid w:val="00BC2DCC"/>
    <w:rsid w:val="00E7615B"/>
    <w:rsid w:val="00EA5503"/>
    <w:rsid w:val="00FA5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15B"/>
    <w:rPr>
      <w:color w:val="0000FF"/>
      <w:u w:val="single"/>
    </w:rPr>
  </w:style>
  <w:style w:type="paragraph" w:customStyle="1" w:styleId="EndNoteBibliographyTitle">
    <w:name w:val="EndNote Bibliography Title"/>
    <w:basedOn w:val="a"/>
    <w:link w:val="EndNoteBibliographyTitleChar"/>
    <w:rsid w:val="00650A56"/>
    <w:pPr>
      <w:jc w:val="center"/>
    </w:pPr>
    <w:rPr>
      <w:rFonts w:ascii="Calibri" w:hAnsi="Calibri" w:cs="Calibri"/>
      <w:noProof/>
      <w:sz w:val="20"/>
    </w:rPr>
  </w:style>
  <w:style w:type="character" w:customStyle="1" w:styleId="EndNoteBibliographyTitleChar">
    <w:name w:val="EndNote Bibliography Title Char"/>
    <w:basedOn w:val="a0"/>
    <w:link w:val="EndNoteBibliographyTitle"/>
    <w:rsid w:val="00650A56"/>
    <w:rPr>
      <w:rFonts w:ascii="Calibri" w:hAnsi="Calibri" w:cs="Calibri"/>
      <w:noProof/>
      <w:sz w:val="20"/>
    </w:rPr>
  </w:style>
  <w:style w:type="paragraph" w:customStyle="1" w:styleId="EndNoteBibliography">
    <w:name w:val="EndNote Bibliography"/>
    <w:basedOn w:val="a"/>
    <w:link w:val="EndNoteBibliographyChar"/>
    <w:rsid w:val="00650A56"/>
    <w:rPr>
      <w:rFonts w:ascii="Calibri" w:hAnsi="Calibri" w:cs="Calibri"/>
      <w:noProof/>
      <w:sz w:val="20"/>
    </w:rPr>
  </w:style>
  <w:style w:type="character" w:customStyle="1" w:styleId="EndNoteBibliographyChar">
    <w:name w:val="EndNote Bibliography Char"/>
    <w:basedOn w:val="a0"/>
    <w:link w:val="EndNoteBibliography"/>
    <w:rsid w:val="00650A56"/>
    <w:rPr>
      <w:rFonts w:ascii="Calibri" w:hAnsi="Calibri" w:cs="Calibri"/>
      <w:noProof/>
      <w:sz w:val="20"/>
    </w:rPr>
  </w:style>
  <w:style w:type="paragraph" w:styleId="a4">
    <w:name w:val="header"/>
    <w:basedOn w:val="a"/>
    <w:link w:val="Char"/>
    <w:uiPriority w:val="99"/>
    <w:semiHidden/>
    <w:unhideWhenUsed/>
    <w:rsid w:val="00FA55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A55C7"/>
    <w:rPr>
      <w:sz w:val="18"/>
      <w:szCs w:val="18"/>
    </w:rPr>
  </w:style>
  <w:style w:type="paragraph" w:styleId="a5">
    <w:name w:val="footer"/>
    <w:basedOn w:val="a"/>
    <w:link w:val="Char0"/>
    <w:uiPriority w:val="99"/>
    <w:semiHidden/>
    <w:unhideWhenUsed/>
    <w:rsid w:val="00FA55C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A55C7"/>
    <w:rPr>
      <w:sz w:val="18"/>
      <w:szCs w:val="18"/>
    </w:rPr>
  </w:style>
</w:styles>
</file>

<file path=word/webSettings.xml><?xml version="1.0" encoding="utf-8"?>
<w:webSettings xmlns:r="http://schemas.openxmlformats.org/officeDocument/2006/relationships" xmlns:w="http://schemas.openxmlformats.org/wordprocessingml/2006/main">
  <w:divs>
    <w:div w:id="840312448">
      <w:bodyDiv w:val="1"/>
      <w:marLeft w:val="0"/>
      <w:marRight w:val="0"/>
      <w:marTop w:val="0"/>
      <w:marBottom w:val="0"/>
      <w:divBdr>
        <w:top w:val="none" w:sz="0" w:space="0" w:color="auto"/>
        <w:left w:val="none" w:sz="0" w:space="0" w:color="auto"/>
        <w:bottom w:val="none" w:sz="0" w:space="0" w:color="auto"/>
        <w:right w:val="none" w:sz="0" w:space="0" w:color="auto"/>
      </w:divBdr>
    </w:div>
    <w:div w:id="1453816559">
      <w:bodyDiv w:val="1"/>
      <w:marLeft w:val="0"/>
      <w:marRight w:val="0"/>
      <w:marTop w:val="0"/>
      <w:marBottom w:val="0"/>
      <w:divBdr>
        <w:top w:val="none" w:sz="0" w:space="0" w:color="auto"/>
        <w:left w:val="none" w:sz="0" w:space="0" w:color="auto"/>
        <w:bottom w:val="none" w:sz="0" w:space="0" w:color="auto"/>
        <w:right w:val="none" w:sz="0" w:space="0" w:color="auto"/>
      </w:divBdr>
    </w:div>
    <w:div w:id="15015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5479</Characters>
  <Application>Microsoft Office Word</Application>
  <DocSecurity>0</DocSecurity>
  <Lines>45</Lines>
  <Paragraphs>12</Paragraphs>
  <ScaleCrop>false</ScaleCrop>
  <Company>Hewlett-Packard Company</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骆询</cp:lastModifiedBy>
  <cp:revision>3</cp:revision>
  <dcterms:created xsi:type="dcterms:W3CDTF">2021-05-31T14:00:00Z</dcterms:created>
  <dcterms:modified xsi:type="dcterms:W3CDTF">2021-06-11T08:43:00Z</dcterms:modified>
</cp:coreProperties>
</file>