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56"/>
        <w:gridCol w:w="2422"/>
        <w:gridCol w:w="1820"/>
        <w:gridCol w:w="958"/>
      </w:tblGrid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Main MAPT study</w:t>
            </w:r>
          </w:p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(n = 1408)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PET sub-study</w:t>
            </w:r>
          </w:p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(n = 269)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 value</w:t>
            </w: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Age, y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75.93 </w:t>
            </w:r>
            <w:r w:rsidRPr="00E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4.46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75.20 </w:t>
            </w:r>
            <w:r w:rsidRPr="00E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4.23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0.013</w:t>
            </w: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Sex, women (%)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924 (65.6 %)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162 (60.2 %)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0.089</w:t>
            </w: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Education (</w:t>
            </w:r>
            <w:proofErr w:type="gramStart"/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  <w:r w:rsidRPr="00EE344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gramEnd"/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0.432</w:t>
            </w: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E344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No diploma or primary school certificate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303 (22.0 %)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68 (25.7 %)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E3445">
              <w:rPr>
                <w:rFonts w:ascii="Times New Roman" w:hAnsi="Times New Roman"/>
                <w:i/>
                <w:sz w:val="20"/>
                <w:szCs w:val="20"/>
                <w:lang w:val="en-US" w:eastAsia="fr-FR"/>
              </w:rPr>
              <w:t xml:space="preserve">Secondary education no high-school diploma 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473 (34.4 %)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79 (29.8 %)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E3445">
              <w:rPr>
                <w:rFonts w:ascii="Times New Roman" w:hAnsi="Times New Roman"/>
                <w:i/>
                <w:sz w:val="20"/>
                <w:szCs w:val="20"/>
                <w:lang w:val="en-US" w:eastAsia="fr-FR"/>
              </w:rPr>
              <w:t xml:space="preserve">High-school diploma 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203 (14.8 %)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39 (14.7 %)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jc w:val="righ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E3445">
              <w:rPr>
                <w:rFonts w:ascii="Times New Roman" w:hAnsi="Times New Roman"/>
                <w:i/>
                <w:sz w:val="20"/>
                <w:szCs w:val="20"/>
                <w:lang w:val="en-US" w:eastAsia="fr-FR"/>
              </w:rPr>
              <w:t>Higher diploma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397 (28.9 %)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79 (29.8 %)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% of CDR 0.5 (%)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593 (42.2 %)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112 (41.6 %)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0.876</w:t>
            </w: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MET-min/week</w:t>
            </w:r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1108.75 (491.25,2026)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1127 (420,2086)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0.907</w:t>
            </w:r>
          </w:p>
        </w:tc>
      </w:tr>
      <w:tr w:rsidR="009902D3" w:rsidRPr="00EE3445" w:rsidTr="0081625E">
        <w:tc>
          <w:tcPr>
            <w:tcW w:w="2129" w:type="pct"/>
          </w:tcPr>
          <w:p w:rsidR="009902D3" w:rsidRPr="00EE3445" w:rsidRDefault="009902D3" w:rsidP="0081625E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ApoE</w:t>
            </w:r>
            <w:proofErr w:type="spellEnd"/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3445">
              <w:rPr>
                <w:rFonts w:ascii="Symbol" w:hAnsi="Symbol"/>
                <w:sz w:val="24"/>
                <w:szCs w:val="24"/>
                <w:lang w:val="en-US"/>
              </w:rPr>
              <w:t></w:t>
            </w: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4 carriers (</w:t>
            </w:r>
            <w:proofErr w:type="gramStart"/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%)</w:t>
            </w:r>
            <w:r w:rsidRPr="00EE344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337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233 (21.9 %)</w:t>
            </w:r>
          </w:p>
        </w:tc>
        <w:tc>
          <w:tcPr>
            <w:tcW w:w="1005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65 (27.7 %)</w:t>
            </w:r>
          </w:p>
        </w:tc>
        <w:tc>
          <w:tcPr>
            <w:tcW w:w="529" w:type="pct"/>
          </w:tcPr>
          <w:p w:rsidR="009902D3" w:rsidRPr="00EE3445" w:rsidRDefault="009902D3" w:rsidP="0081625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445">
              <w:rPr>
                <w:rFonts w:ascii="Times New Roman" w:hAnsi="Times New Roman"/>
                <w:sz w:val="24"/>
                <w:szCs w:val="24"/>
                <w:lang w:val="en-US"/>
              </w:rPr>
              <w:t>0.057</w:t>
            </w:r>
          </w:p>
        </w:tc>
      </w:tr>
    </w:tbl>
    <w:p w:rsidR="009902D3" w:rsidRPr="00EE3445" w:rsidRDefault="009902D3" w:rsidP="009902D3">
      <w:pPr>
        <w:rPr>
          <w:lang w:val="en-US"/>
        </w:rPr>
      </w:pPr>
    </w:p>
    <w:p w:rsidR="009902D3" w:rsidRPr="00E17628" w:rsidRDefault="009902D3" w:rsidP="009902D3">
      <w:pPr>
        <w:jc w:val="both"/>
        <w:rPr>
          <w:rFonts w:cstheme="minorHAnsi"/>
          <w:lang w:val="en-US"/>
        </w:rPr>
      </w:pPr>
      <w:r w:rsidRPr="00EE3445">
        <w:rPr>
          <w:b/>
          <w:lang w:val="en-US"/>
        </w:rPr>
        <w:t xml:space="preserve">Supplementary Table 1. Comparison of the participants in the </w:t>
      </w:r>
      <w:r w:rsidRPr="00EE3445">
        <w:rPr>
          <w:rFonts w:ascii="Calibri" w:hAnsi="Calibri" w:cs="Calibri"/>
          <w:b/>
          <w:lang w:val="en-US" w:eastAsia="fr-FR"/>
        </w:rPr>
        <w:t>main MAPT study not assessed for cerebral A</w:t>
      </w:r>
      <w:r w:rsidRPr="00EE3445">
        <w:rPr>
          <w:rFonts w:ascii="Symbol" w:hAnsi="Symbol" w:cs="Calibri"/>
          <w:b/>
          <w:lang w:val="en-US" w:eastAsia="fr-FR"/>
        </w:rPr>
        <w:t></w:t>
      </w:r>
      <w:r w:rsidRPr="00EE3445">
        <w:rPr>
          <w:rFonts w:ascii="Calibri" w:hAnsi="Calibri" w:cs="Calibri"/>
          <w:b/>
          <w:lang w:val="en-US" w:eastAsia="fr-FR"/>
        </w:rPr>
        <w:t xml:space="preserve"> load (n = 1408) and participants of the PET sub-study (n = 269)</w:t>
      </w:r>
      <w:r w:rsidRPr="00EE3445">
        <w:rPr>
          <w:b/>
          <w:lang w:val="en-US"/>
        </w:rPr>
        <w:t xml:space="preserve">. </w:t>
      </w:r>
      <w:r w:rsidRPr="00EE3445">
        <w:rPr>
          <w:rFonts w:cstheme="minorHAnsi"/>
          <w:lang w:val="en-US"/>
        </w:rPr>
        <w:t>Age</w:t>
      </w:r>
      <w:r w:rsidRPr="00EE3445">
        <w:rPr>
          <w:rFonts w:cstheme="minorHAnsi"/>
          <w:b/>
          <w:lang w:val="en-US"/>
        </w:rPr>
        <w:t xml:space="preserve">, </w:t>
      </w:r>
      <w:r w:rsidRPr="00EE3445">
        <w:rPr>
          <w:rFonts w:cstheme="minorHAnsi"/>
          <w:lang w:val="en-US"/>
        </w:rPr>
        <w:t xml:space="preserve">CDR score, and </w:t>
      </w:r>
      <w:proofErr w:type="gramStart"/>
      <w:r w:rsidRPr="00EE3445">
        <w:rPr>
          <w:rFonts w:cstheme="minorHAnsi"/>
          <w:lang w:val="en-US"/>
        </w:rPr>
        <w:t>MET-min</w:t>
      </w:r>
      <w:proofErr w:type="gramEnd"/>
      <w:r w:rsidRPr="00EE3445">
        <w:rPr>
          <w:rFonts w:cstheme="minorHAnsi"/>
          <w:lang w:val="en-US"/>
        </w:rPr>
        <w:t>/week are presented at baseline. Data is expressed as mean ± standard deviation or median and interquartile range or as absolute values/percentages. Clinical and demographic characteristics were compared between the participants in each group using chi squared tests for categorical variables and T-tests or Wilcoxon rank-sum tests for continuous variables. Abbreviations:</w:t>
      </w:r>
      <w:r w:rsidRPr="00EE3445">
        <w:rPr>
          <w:rFonts w:cstheme="minorHAnsi"/>
          <w:b/>
          <w:lang w:val="en-US"/>
        </w:rPr>
        <w:t xml:space="preserve"> </w:t>
      </w:r>
      <w:proofErr w:type="spellStart"/>
      <w:r w:rsidRPr="00EE3445">
        <w:rPr>
          <w:rFonts w:cstheme="minorHAnsi"/>
          <w:lang w:val="en-US"/>
        </w:rPr>
        <w:t>ApoE</w:t>
      </w:r>
      <w:proofErr w:type="spellEnd"/>
      <w:r w:rsidRPr="00EE3445">
        <w:rPr>
          <w:rFonts w:cstheme="minorHAnsi"/>
          <w:lang w:val="en-US"/>
        </w:rPr>
        <w:t xml:space="preserve">, apolipoprotein E; CDR, clinical dementia rating; MET-min/week, </w:t>
      </w:r>
      <w:r w:rsidRPr="00EE3445">
        <w:rPr>
          <w:rFonts w:ascii="Calibri" w:hAnsi="Calibri" w:cs="Calibri"/>
          <w:lang w:val="en-US"/>
        </w:rPr>
        <w:t>metabolic equivalent tasks – minutes per week</w:t>
      </w:r>
      <w:r w:rsidRPr="00EE3445">
        <w:rPr>
          <w:rFonts w:cstheme="minorHAnsi"/>
          <w:lang w:val="en-US"/>
        </w:rPr>
        <w:t xml:space="preserve">. </w:t>
      </w:r>
      <w:r w:rsidRPr="00EE3445">
        <w:rPr>
          <w:rFonts w:cstheme="minorHAnsi"/>
          <w:vertAlign w:val="superscript"/>
          <w:lang w:val="en-US"/>
        </w:rPr>
        <w:t>a</w:t>
      </w:r>
      <w:r w:rsidRPr="00EE3445">
        <w:rPr>
          <w:rFonts w:cstheme="minorHAnsi"/>
          <w:lang w:val="en-US"/>
        </w:rPr>
        <w:t xml:space="preserve"> Data on education available for n = 1376 in the main MAPT study and n = 265 in the PET sub-study. </w:t>
      </w:r>
      <w:r w:rsidRPr="00EE3445">
        <w:rPr>
          <w:rFonts w:cstheme="minorHAnsi"/>
          <w:vertAlign w:val="superscript"/>
          <w:lang w:val="en-US"/>
        </w:rPr>
        <w:t>b</w:t>
      </w:r>
      <w:r w:rsidRPr="00EE3445">
        <w:rPr>
          <w:rFonts w:cstheme="minorHAnsi"/>
          <w:lang w:val="en-US"/>
        </w:rPr>
        <w:t xml:space="preserve"> Data on </w:t>
      </w:r>
      <w:proofErr w:type="spellStart"/>
      <w:r w:rsidRPr="00EE3445">
        <w:rPr>
          <w:rFonts w:cstheme="minorHAnsi"/>
          <w:lang w:val="en-US"/>
        </w:rPr>
        <w:t>ApoE</w:t>
      </w:r>
      <w:proofErr w:type="spellEnd"/>
      <w:r w:rsidRPr="00EE3445">
        <w:rPr>
          <w:rFonts w:cstheme="minorHAnsi"/>
          <w:lang w:val="en-US"/>
        </w:rPr>
        <w:t xml:space="preserve"> e4 carrier status available for n = 1064 in the main MAPT study and n = 235 in the PET sub-study.</w:t>
      </w:r>
    </w:p>
    <w:p w:rsidR="009902D3" w:rsidRPr="009902D3" w:rsidRDefault="009902D3">
      <w:pPr>
        <w:rPr>
          <w:lang w:val="en-US"/>
        </w:rPr>
      </w:pPr>
      <w:bookmarkStart w:id="0" w:name="_GoBack"/>
      <w:bookmarkEnd w:id="0"/>
    </w:p>
    <w:sectPr w:rsidR="009902D3" w:rsidRPr="009902D3" w:rsidSect="00337E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D3"/>
    <w:rsid w:val="00337E2F"/>
    <w:rsid w:val="009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F6658BB-E926-7A42-B9A2-EDBD8E4C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D3"/>
    <w:pPr>
      <w:spacing w:after="160" w:line="259" w:lineRule="auto"/>
    </w:pPr>
    <w:rPr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02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2019-11-25T09:21:00Z</dcterms:created>
  <dcterms:modified xsi:type="dcterms:W3CDTF">2019-11-25T09:22:00Z</dcterms:modified>
</cp:coreProperties>
</file>